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jc w:val="center"/>
        <w:outlineLvl w:val="0"/>
        <w:rPr>
          <w:rFonts w:hint="eastAsia" w:ascii="黑体" w:hAnsi="宋体" w:eastAsia="黑体" w:cs="宋体"/>
          <w:b/>
          <w:bCs w:val="0"/>
          <w:color w:val="auto"/>
          <w:kern w:val="0"/>
          <w:sz w:val="32"/>
          <w:szCs w:val="32"/>
          <w:highlight w:val="none"/>
        </w:rPr>
      </w:pPr>
      <w:bookmarkStart w:id="0" w:name="_Toc16039"/>
      <w:r>
        <w:rPr>
          <w:rFonts w:hint="eastAsia" w:ascii="黑体" w:hAnsi="宋体" w:eastAsia="黑体" w:cs="宋体"/>
          <w:b/>
          <w:bCs w:val="0"/>
          <w:color w:val="auto"/>
          <w:kern w:val="0"/>
          <w:sz w:val="32"/>
          <w:szCs w:val="32"/>
          <w:highlight w:val="none"/>
        </w:rPr>
        <w:t>期货交易风险说明书</w:t>
      </w:r>
    </w:p>
    <w:p>
      <w:pPr>
        <w:spacing w:line="560" w:lineRule="exact"/>
        <w:jc w:val="center"/>
        <w:rPr>
          <w:rFonts w:hint="eastAsia" w:ascii="黑体" w:hAnsi="宋体" w:eastAsia="黑体" w:cs="宋体"/>
          <w:b/>
          <w:bCs w:val="0"/>
          <w:color w:val="auto"/>
          <w:kern w:val="0"/>
          <w:sz w:val="32"/>
          <w:szCs w:val="32"/>
          <w:highlight w:val="none"/>
        </w:rPr>
      </w:pPr>
      <w:r>
        <w:rPr>
          <w:rFonts w:hint="eastAsia" w:ascii="黑体" w:hAnsi="宋体" w:eastAsia="黑体" w:cs="宋体"/>
          <w:b/>
          <w:bCs w:val="0"/>
          <w:color w:val="auto"/>
          <w:kern w:val="0"/>
          <w:sz w:val="32"/>
          <w:szCs w:val="32"/>
          <w:highlight w:val="none"/>
        </w:rPr>
        <w:t>市场风险莫测  务请谨慎从事</w:t>
      </w:r>
    </w:p>
    <w:p>
      <w:pPr>
        <w:adjustRightInd w:val="0"/>
        <w:snapToGrid w:val="0"/>
        <w:spacing w:line="560" w:lineRule="exact"/>
        <w:rPr>
          <w:rFonts w:hint="eastAsia" w:ascii="黑体" w:hAnsi="宋体" w:eastAsia="黑体"/>
          <w:bCs/>
          <w:color w:val="auto"/>
          <w:sz w:val="30"/>
          <w:szCs w:val="30"/>
          <w:highlight w:val="none"/>
        </w:rPr>
      </w:pPr>
      <w:r>
        <w:rPr>
          <w:rFonts w:hint="eastAsia" w:ascii="黑体" w:hAnsi="宋体" w:eastAsia="黑体"/>
          <w:bCs/>
          <w:color w:val="auto"/>
          <w:sz w:val="30"/>
          <w:szCs w:val="30"/>
          <w:highlight w:val="none"/>
        </w:rPr>
        <w:t>尊敬的客户：</w:t>
      </w:r>
    </w:p>
    <w:p>
      <w:pPr>
        <w:adjustRightInd w:val="0"/>
        <w:snapToGrid w:val="0"/>
        <w:spacing w:line="560" w:lineRule="exact"/>
        <w:ind w:firstLine="602" w:firstLineChars="200"/>
        <w:rPr>
          <w:rFonts w:hint="eastAsia" w:ascii="黑体" w:hAnsi="宋体" w:eastAsia="黑体"/>
          <w:bCs/>
          <w:color w:val="auto"/>
          <w:sz w:val="30"/>
          <w:szCs w:val="30"/>
          <w:highlight w:val="none"/>
        </w:rPr>
      </w:pPr>
      <w:r>
        <w:rPr>
          <w:rFonts w:hint="eastAsia" w:ascii="黑体" w:hAnsi="宋体" w:eastAsia="黑体"/>
          <w:bCs/>
          <w:color w:val="auto"/>
          <w:sz w:val="30"/>
          <w:szCs w:val="30"/>
          <w:highlight w:val="none"/>
        </w:rPr>
        <w:t>根据中国证监会的规定，现向您提供本《期货交易风险说明书》。</w:t>
      </w:r>
      <w:r>
        <w:rPr>
          <w:rFonts w:ascii="黑体" w:hAnsi="宋体" w:eastAsia="黑体"/>
          <w:bCs/>
          <w:color w:val="auto"/>
          <w:sz w:val="30"/>
          <w:szCs w:val="30"/>
          <w:highlight w:val="none"/>
        </w:rPr>
        <w:t>本</w:t>
      </w:r>
      <w:r>
        <w:rPr>
          <w:color w:val="auto"/>
          <w:sz w:val="30"/>
          <w:highlight w:val="none"/>
        </w:rPr>
        <mc:AlternateContent>
          <mc:Choice Requires="wps">
            <w:drawing>
              <wp:anchor distT="0" distB="0" distL="114300" distR="114300" simplePos="0" relativeHeight="251662336" behindDoc="1" locked="0" layoutInCell="1" allowOverlap="1">
                <wp:simplePos x="0" y="0"/>
                <wp:positionH relativeFrom="rightMargin">
                  <wp:posOffset>165100</wp:posOffset>
                </wp:positionH>
                <wp:positionV relativeFrom="topMargin">
                  <wp:posOffset>3060065</wp:posOffset>
                </wp:positionV>
                <wp:extent cx="589280" cy="5760085"/>
                <wp:effectExtent l="0" t="0" r="1270" b="12065"/>
                <wp:wrapNone/>
                <wp:docPr id="2" name="文本框 2"/>
                <wp:cNvGraphicFramePr/>
                <a:graphic xmlns:a="http://schemas.openxmlformats.org/drawingml/2006/main">
                  <a:graphicData uri="http://schemas.microsoft.com/office/word/2010/wordprocessingShape">
                    <wps:wsp>
                      <wps:cNvSpPr txBox="1"/>
                      <wps:spPr>
                        <a:xfrm>
                          <a:off x="0" y="0"/>
                          <a:ext cx="589280" cy="57600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p>
                          <w:p>
                            <w:r>
                              <w:rPr>
                                <w:rFonts w:hint="eastAsia"/>
                                <w:b w:val="0"/>
                                <w:bCs/>
                                <w:sz w:val="20"/>
                                <w:szCs w:val="20"/>
                              </w:rPr>
                              <w:t>第一联 公司留存（白） 第二联 营业部留存（蓝） 第三联 客户留存（粉）</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8.8pt;margin-top:240.95pt;height:453.55pt;width:46.4pt;mso-position-horizontal-relative:page;mso-position-vertical-relative:page;z-index:-251654144;mso-width-relative:page;mso-height-relative:page;" fillcolor="#FFFFFF [3201]" filled="t" stroked="f" coordsize="21600,21600" o:gfxdata="UEsDBAoAAAAAAIdO4kAAAAAAAAAAAAAAAAAEAAAAZHJzL1BLAwQUAAAACACHTuJAmpI9DtkAAAAL&#10;AQAADwAAAGRycy9kb3ducmV2LnhtbE2Py07DMBBF90j8gzWV2FE7BVVJiFOhSCy6AAnDhp0TOw/V&#10;Hkex+/p7pivYzWiu7pxT7S7esZNd4hRQQrYWwCx2wUw4SPj+envMgcWk0WgX0Eq42gi7+v6u0qUJ&#10;Z/y0J5UGRiUYSy1hTGkuOY/daL2O6zBbpFsfFq8TrcvAzaLPVO4d3wix5V5PSB9GPdtmtN1BHb2E&#10;QqF+V017fS0+XN/vf9TeiUbKh1UmXoAle0l/YbjhEzrUxNSGI5rInITNllSShOc8K4DdAllOLi0N&#10;T3khgNcV/+9Q/wJQSwMEFAAAAAgAh07iQMJXdZRTAgAAkQQAAA4AAABkcnMvZTJvRG9jLnhtbK1U&#10;zW7bMAy+D9g7CLovdrIkTYM6RdYiw4BgLdD9nBVZjgVIoiYpsbMHWN9gp11233P1OUbJbpt1O/Sw&#10;HGxKpD/y+0jm7LzViuyF8xJMQYeDnBJhOJTSbAv68cPq1YwSH5gpmQIjCnoQnp4vXr44a+xcjKAG&#10;VQpHEMT4eWMLWodg51nmeS008wOwwqCzAqdZwKPbZqVjDaJrlY3yfJo14ErrgAvv8fayc9Ie0T0H&#10;EKpKcnEJfKeFCR2qE4oFpORraT1dpGqrSvBwVVVeBKIKikxDemIStDfxmS3O2HzrmK0l70tgzynh&#10;CSfNpMGkD1CXLDCyc/IvKC25Aw9VGHDQWUckKYIshvkTbW5qZkXiglJ7+yC6/3+w/P3+2hFZFnRE&#10;iWEaG373/fbux6+7n9/IKMrTWD/HqBuLcaF9Ay0Ozf29x8vIuq2cjm/kQ9CP4h4exBVtIBwvJ7PT&#10;0Qw9HF2Tk2mezyYRJnv82jof3grQJBoFddi8pCnbr33oQu9DYjIPSpYrqVQ6uO3mQjmyZ9joVfr1&#10;6H+EKUOagk5fT/KEbCB+30Erg8VEsh2paIV20/YKbKA8oAAOugnylq8kVrlmPlwzhyODzHCpwhU+&#10;KgWYBHqLkhrc13/dx/iCCvYJ35Q0OIQF9V92zAlK1DuDXT4djscIHNJhPDkZ4cEdezbHHrPTF4D0&#10;h7jAliczxgd1b1YO9GfcvmXMiy5mONZWUMzemRehWw3cXi6WyxSEc2pZWJsbyyN0FNvAchegkqkp&#10;UahOnV4/nNTU1n6r4iocn1PU4z/J4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akj0O2QAAAAsB&#10;AAAPAAAAAAAAAAEAIAAAACIAAABkcnMvZG93bnJldi54bWxQSwECFAAUAAAACACHTuJAwld1lFMC&#10;AACRBAAADgAAAAAAAAABACAAAAAoAQAAZHJzL2Uyb0RvYy54bWxQSwUGAAAAAAYABgBZAQAA7QUA&#10;AAAA&#10;">
                <v:fill on="t" focussize="0,0"/>
                <v:stroke on="f" weight="0.5pt"/>
                <v:imagedata o:title=""/>
                <o:lock v:ext="edit" aspectratio="f"/>
                <v:textbox style="layout-flow:vertical-ideographic;">
                  <w:txbxContent>
                    <w:p>
                      <w:pPr>
                        <w:rPr>
                          <w:rFonts w:hint="eastAsia"/>
                        </w:rPr>
                      </w:pPr>
                    </w:p>
                    <w:p>
                      <w:r>
                        <w:rPr>
                          <w:rFonts w:hint="eastAsia"/>
                          <w:b w:val="0"/>
                          <w:bCs/>
                          <w:sz w:val="20"/>
                          <w:szCs w:val="20"/>
                        </w:rPr>
                        <w:t>第一联 公司留存（白） 第二联 营业部留存（蓝） 第三联 客户留存（粉）</w:t>
                      </w:r>
                    </w:p>
                  </w:txbxContent>
                </v:textbox>
              </v:shape>
            </w:pict>
          </mc:Fallback>
        </mc:AlternateContent>
      </w:r>
      <w:r>
        <w:rPr>
          <w:rFonts w:hint="eastAsia" w:ascii="黑体" w:hAnsi="宋体" w:eastAsia="黑体"/>
          <w:bCs/>
          <w:color w:val="auto"/>
          <w:sz w:val="30"/>
          <w:szCs w:val="30"/>
          <w:highlight w:val="none"/>
        </w:rPr>
        <w:t>说明书</w:t>
      </w:r>
      <w:r>
        <w:rPr>
          <w:rFonts w:ascii="黑体" w:hAnsi="宋体" w:eastAsia="黑体"/>
          <w:bCs/>
          <w:color w:val="auto"/>
          <w:sz w:val="30"/>
          <w:szCs w:val="30"/>
          <w:highlight w:val="none"/>
        </w:rPr>
        <w:t>所称期货交易，是指采用公开的集中交易方式或者国务院期货监督管理机构批准的其他方式进行的以期货合约或者期权合约为交易标的的交易活动。</w:t>
      </w:r>
      <w:r>
        <w:rPr>
          <w:rFonts w:hint="eastAsia" w:ascii="黑体" w:hAnsi="宋体" w:eastAsia="黑体"/>
          <w:bCs/>
          <w:color w:val="auto"/>
          <w:sz w:val="30"/>
          <w:szCs w:val="30"/>
          <w:highlight w:val="none"/>
        </w:rPr>
        <w:t>您应当遵循“买卖自负”的金融市场原则，理解期货合约交易与期权合约交易的全部交易规则，认识</w:t>
      </w:r>
      <w:r>
        <w:rPr>
          <w:rFonts w:ascii="黑体" w:hAnsi="宋体" w:eastAsia="黑体"/>
          <w:bCs/>
          <w:color w:val="auto"/>
          <w:sz w:val="30"/>
          <w:szCs w:val="30"/>
          <w:highlight w:val="none"/>
        </w:rPr>
        <w:t>期货交易</w:t>
      </w:r>
      <w:r>
        <w:rPr>
          <w:rFonts w:hint="eastAsia" w:ascii="黑体" w:hAnsi="宋体" w:eastAsia="黑体"/>
          <w:bCs/>
          <w:color w:val="auto"/>
          <w:sz w:val="30"/>
          <w:szCs w:val="30"/>
          <w:highlight w:val="none"/>
        </w:rPr>
        <w:t>风险，自行承担交易结果。</w:t>
      </w:r>
    </w:p>
    <w:p>
      <w:pPr>
        <w:adjustRightInd w:val="0"/>
        <w:snapToGrid w:val="0"/>
        <w:spacing w:line="560" w:lineRule="exact"/>
        <w:ind w:firstLine="602" w:firstLineChars="200"/>
        <w:rPr>
          <w:rFonts w:hint="eastAsia" w:ascii="黑体" w:hAnsi="宋体" w:eastAsia="黑体"/>
          <w:bCs/>
          <w:color w:val="auto"/>
          <w:sz w:val="30"/>
          <w:szCs w:val="30"/>
          <w:highlight w:val="none"/>
        </w:rPr>
      </w:pPr>
      <w:r>
        <w:rPr>
          <w:rFonts w:hint="eastAsia" w:ascii="黑体" w:hAnsi="宋体" w:eastAsia="黑体"/>
          <w:bCs/>
          <w:color w:val="auto"/>
          <w:sz w:val="30"/>
          <w:szCs w:val="30"/>
          <w:highlight w:val="none"/>
        </w:rPr>
        <w:t>您在考虑是否进行期货交易时，应当明确以下几点：</w:t>
      </w:r>
    </w:p>
    <w:p>
      <w:pPr>
        <w:numPr>
          <w:ilvl w:val="0"/>
          <w:numId w:val="1"/>
        </w:numPr>
        <w:adjustRightInd w:val="0"/>
        <w:snapToGrid w:val="0"/>
        <w:spacing w:line="560" w:lineRule="exact"/>
        <w:ind w:left="0" w:firstLine="602" w:firstLineChars="200"/>
        <w:rPr>
          <w:rFonts w:ascii="黑体" w:hAnsi="宋体" w:eastAsia="黑体"/>
          <w:bCs/>
          <w:color w:val="auto"/>
          <w:sz w:val="30"/>
          <w:szCs w:val="30"/>
          <w:highlight w:val="none"/>
        </w:rPr>
      </w:pPr>
      <w:r>
        <w:rPr>
          <w:rFonts w:hint="eastAsia" w:ascii="黑体" w:hAnsi="宋体" w:eastAsia="黑体"/>
          <w:bCs/>
          <w:color w:val="auto"/>
          <w:sz w:val="30"/>
          <w:szCs w:val="30"/>
          <w:highlight w:val="none"/>
        </w:rPr>
        <w:t>您应当充分了解到，期货合约交易采取保证金交易方式，具有杠杆性，带有高度的风险。相对较小的市场波动，可能使您产生巨大亏损，损失的总额可能超过您存放在期货公司的全部初始保证金以及追加</w:t>
      </w:r>
      <w:r>
        <w:rPr>
          <w:rFonts w:ascii="黑体" w:hAnsi="宋体" w:eastAsia="黑体"/>
          <w:bCs/>
          <w:color w:val="auto"/>
          <w:sz w:val="30"/>
          <w:szCs w:val="30"/>
          <w:highlight w:val="none"/>
        </w:rPr>
        <w:t>保证金。</w:t>
      </w:r>
      <w:r>
        <w:rPr>
          <w:rFonts w:hint="eastAsia" w:ascii="黑体" w:hAnsi="宋体" w:eastAsia="黑体"/>
          <w:bCs/>
          <w:color w:val="auto"/>
          <w:sz w:val="30"/>
          <w:szCs w:val="30"/>
          <w:highlight w:val="none"/>
        </w:rPr>
        <w:t>期权合约交易采取权利金和保证金的交易方式，如您购买期权合约可能没有任何收益，甚至损失全部投资；如您卖出期权合约，您可能发生巨额损失，这一损失可能远大于该期权的权利金，并可能超过您存放在期货公司的全部初始保证金以及追加</w:t>
      </w:r>
      <w:r>
        <w:rPr>
          <w:rFonts w:ascii="黑体" w:hAnsi="宋体" w:eastAsia="黑体"/>
          <w:bCs/>
          <w:color w:val="auto"/>
          <w:sz w:val="30"/>
          <w:szCs w:val="30"/>
          <w:highlight w:val="none"/>
        </w:rPr>
        <w:t>保证金。</w:t>
      </w:r>
    </w:p>
    <w:p>
      <w:pPr>
        <w:numPr>
          <w:ilvl w:val="0"/>
          <w:numId w:val="1"/>
        </w:numPr>
        <w:adjustRightInd w:val="0"/>
        <w:snapToGrid w:val="0"/>
        <w:spacing w:line="560" w:lineRule="exact"/>
        <w:ind w:left="0" w:firstLine="602" w:firstLineChars="200"/>
        <w:rPr>
          <w:rFonts w:hint="eastAsia" w:ascii="黑体" w:hAnsi="宋体" w:eastAsia="黑体"/>
          <w:bCs/>
          <w:color w:val="auto"/>
          <w:sz w:val="30"/>
          <w:szCs w:val="30"/>
          <w:highlight w:val="none"/>
        </w:rPr>
      </w:pPr>
      <w:r>
        <w:rPr>
          <w:rFonts w:hint="eastAsia" w:ascii="黑体" w:hAnsi="宋体" w:eastAsia="黑体"/>
          <w:bCs/>
          <w:color w:val="auto"/>
          <w:sz w:val="30"/>
          <w:szCs w:val="30"/>
          <w:highlight w:val="none"/>
        </w:rPr>
        <w:t>您应当充分了解到，假如市场走势对您不利导致您的账户保证金不足时，期货公司会按照期货经纪合同约定的时间和方式通知您在</w:t>
      </w:r>
      <w:r>
        <w:rPr>
          <w:rFonts w:ascii="黑体" w:hAnsi="宋体" w:eastAsia="黑体"/>
          <w:bCs/>
          <w:color w:val="auto"/>
          <w:sz w:val="30"/>
          <w:szCs w:val="30"/>
          <w:highlight w:val="none"/>
        </w:rPr>
        <w:t>规定时间内</w:t>
      </w:r>
      <w:r>
        <w:rPr>
          <w:rFonts w:hint="eastAsia" w:ascii="黑体" w:hAnsi="宋体" w:eastAsia="黑体"/>
          <w:bCs/>
          <w:color w:val="auto"/>
          <w:sz w:val="30"/>
          <w:szCs w:val="30"/>
          <w:highlight w:val="none"/>
        </w:rPr>
        <w:t>追加保证金，以使您能继续持有未平仓合约。如您未于规定时间内存入所需保证金，您持有的未平仓合约将可能在亏损的情况下被强行平仓，您必须承担由此导致的一切损失。</w:t>
      </w:r>
    </w:p>
    <w:p>
      <w:pPr>
        <w:numPr>
          <w:ilvl w:val="0"/>
          <w:numId w:val="1"/>
        </w:numPr>
        <w:adjustRightInd w:val="0"/>
        <w:snapToGrid w:val="0"/>
        <w:spacing w:line="560" w:lineRule="exact"/>
        <w:ind w:left="0" w:firstLine="602" w:firstLineChars="200"/>
        <w:rPr>
          <w:rFonts w:hint="eastAsia" w:ascii="黑体" w:hAnsi="宋体" w:eastAsia="黑体"/>
          <w:bCs/>
          <w:color w:val="auto"/>
          <w:sz w:val="30"/>
          <w:szCs w:val="30"/>
          <w:highlight w:val="none"/>
        </w:rPr>
      </w:pPr>
      <w:r>
        <w:rPr>
          <w:rFonts w:hint="eastAsia" w:ascii="黑体" w:hAnsi="宋体" w:eastAsia="黑体"/>
          <w:bCs/>
          <w:color w:val="auto"/>
          <w:sz w:val="30"/>
          <w:szCs w:val="30"/>
          <w:highlight w:val="none"/>
        </w:rPr>
        <w:t>您必须认真阅读并遵守期货交易所和期货公司的业务规则，如您无法满足期货交易所和期货公司业务规则规定的要求，您所持有的未平仓合约将可能根据有关规则被强行平仓，您必须承担由此产生的后果。</w:t>
      </w:r>
    </w:p>
    <w:p>
      <w:pPr>
        <w:numPr>
          <w:ilvl w:val="0"/>
          <w:numId w:val="1"/>
        </w:numPr>
        <w:adjustRightInd w:val="0"/>
        <w:snapToGrid w:val="0"/>
        <w:spacing w:line="560" w:lineRule="exact"/>
        <w:ind w:left="0" w:firstLine="602" w:firstLineChars="200"/>
        <w:rPr>
          <w:rFonts w:hint="eastAsia" w:ascii="黑体" w:hAnsi="宋体" w:eastAsia="黑体"/>
          <w:bCs/>
          <w:color w:val="auto"/>
          <w:sz w:val="30"/>
          <w:szCs w:val="30"/>
          <w:highlight w:val="none"/>
        </w:rPr>
      </w:pPr>
      <w:r>
        <w:rPr>
          <w:rFonts w:hint="eastAsia" w:ascii="黑体" w:hAnsi="宋体" w:eastAsia="黑体"/>
          <w:bCs/>
          <w:color w:val="auto"/>
          <w:sz w:val="30"/>
          <w:szCs w:val="30"/>
          <w:highlight w:val="none"/>
        </w:rPr>
        <w:t>您应当充分了解到，在因市场行情波动剧烈出现单边涨跌停价格、投资者缺乏投资兴趣、流动性的变化或其他因素给某些合约市场的流动性、</w:t>
      </w:r>
      <w:r>
        <w:rPr>
          <w:color w:val="auto"/>
          <w:sz w:val="30"/>
          <w:highlight w:val="none"/>
        </w:rPr>
        <mc:AlternateContent>
          <mc:Choice Requires="wps">
            <w:drawing>
              <wp:anchor distT="0" distB="0" distL="114300" distR="114300" simplePos="0" relativeHeight="251663360" behindDoc="1" locked="0" layoutInCell="1" allowOverlap="1">
                <wp:simplePos x="0" y="0"/>
                <wp:positionH relativeFrom="rightMargin">
                  <wp:posOffset>165100</wp:posOffset>
                </wp:positionH>
                <wp:positionV relativeFrom="topMargin">
                  <wp:posOffset>3060065</wp:posOffset>
                </wp:positionV>
                <wp:extent cx="589280" cy="5760085"/>
                <wp:effectExtent l="0" t="0" r="1270" b="12065"/>
                <wp:wrapNone/>
                <wp:docPr id="3" name="文本框 3"/>
                <wp:cNvGraphicFramePr/>
                <a:graphic xmlns:a="http://schemas.openxmlformats.org/drawingml/2006/main">
                  <a:graphicData uri="http://schemas.microsoft.com/office/word/2010/wordprocessingShape">
                    <wps:wsp>
                      <wps:cNvSpPr txBox="1"/>
                      <wps:spPr>
                        <a:xfrm>
                          <a:off x="0" y="0"/>
                          <a:ext cx="589280" cy="57600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p>
                          <w:p>
                            <w:r>
                              <w:rPr>
                                <w:rFonts w:hint="eastAsia"/>
                                <w:b w:val="0"/>
                                <w:bCs/>
                                <w:sz w:val="20"/>
                                <w:szCs w:val="20"/>
                              </w:rPr>
                              <w:t>第一联 公司留存（白） 第二联 营业部留存（蓝） 第三联 客户留存（粉）</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8.8pt;margin-top:240.95pt;height:453.55pt;width:46.4pt;mso-position-horizontal-relative:page;mso-position-vertical-relative:page;z-index:-251653120;mso-width-relative:page;mso-height-relative:page;" fillcolor="#FFFFFF [3201]" filled="t" stroked="f" coordsize="21600,21600" o:gfxdata="UEsDBAoAAAAAAIdO4kAAAAAAAAAAAAAAAAAEAAAAZHJzL1BLAwQUAAAACACHTuJAmpI9DtkAAAAL&#10;AQAADwAAAGRycy9kb3ducmV2LnhtbE2Py07DMBBF90j8gzWV2FE7BVVJiFOhSCy6AAnDhp0TOw/V&#10;Hkex+/p7pivYzWiu7pxT7S7esZNd4hRQQrYWwCx2wUw4SPj+envMgcWk0WgX0Eq42gi7+v6u0qUJ&#10;Z/y0J5UGRiUYSy1hTGkuOY/daL2O6zBbpFsfFq8TrcvAzaLPVO4d3wix5V5PSB9GPdtmtN1BHb2E&#10;QqF+V017fS0+XN/vf9TeiUbKh1UmXoAle0l/YbjhEzrUxNSGI5rInITNllSShOc8K4DdAllOLi0N&#10;T3khgNcV/+9Q/wJQSwMEFAAAAAgAh07iQF++kWlTAgAAkQQAAA4AAABkcnMvZTJvRG9jLnhtbK1U&#10;zW7bMAy+D9g7CLovdtImTYM4RdYiw4BiLZD9nBVZjgVIoiYpsbsH2N5gp11233PlOUbJbpt1O/Sw&#10;HGxKpD/y+0hmftFqRfbCeQmmoMNBTokwHEpptgX98H71akqJD8yUTIERBb0Tnl4sXr6YN3YmRlCD&#10;KoUjCGL8rLEFrUOwsyzzvBaa+QFYYdBZgdMs4NFts9KxBtG1ykZ5PskacKV1wIX3eHvVOWmP6J4D&#10;CFUlubgCvtPChA7VCcUCUvK1tJ4uUrVVJXi4qSovAlEFRaYhPTEJ2pv4zBZzNts6ZmvJ+xLYc0p4&#10;wkkzaTDpA9QVC4zsnPwLSkvuwEMVBhx01hFJiiCLYf5Em3XNrEhcUGpvH0T3/w+Wv9vfOiLLgp5Q&#10;YpjGhh++fzv8+HX4+ZWcRHka62cYtbYYF9rX0OLQ3N97vIys28rp+EY+BP0o7t2DuKINhOPleHo+&#10;mqKHo2t8Nsnz6TjCZI9fW+fDGwGaRKOgDpuXNGX7ax+60PuQmMyDkuVKKpUObru5VI7sGTZ6lX49&#10;+h9hypCmoJOTcZ6QDcTvO2hlsJhItiMVrdBu2l6BDZR3KICDboK85SuJVV4zH26Zw5FBZrhU4QYf&#10;lQJMAr1FSQ3uy7/uY3xBBfuIb0oaHMKC+s875gQl6q3BLp8PT08ROKTD6fhshAd37Nkce8xOXwLS&#10;H+ICW57MGB/UvVk50J9w+5YxL7qY4VhbQTF7Z16GbjVwe7lYLlMQzqll4dqsLY/QUWwDy12ASqam&#10;RKE6dXr9cFJTW/utiqtwfE5Rj/8ki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akj0O2QAAAAsB&#10;AAAPAAAAAAAAAAEAIAAAACIAAABkcnMvZG93bnJldi54bWxQSwECFAAUAAAACACHTuJAX76RaVMC&#10;AACRBAAADgAAAAAAAAABACAAAAAoAQAAZHJzL2Uyb0RvYy54bWxQSwUGAAAAAAYABgBZAQAA7QUA&#10;AAAA&#10;">
                <v:fill on="t" focussize="0,0"/>
                <v:stroke on="f" weight="0.5pt"/>
                <v:imagedata o:title=""/>
                <o:lock v:ext="edit" aspectratio="f"/>
                <v:textbox style="layout-flow:vertical-ideographic;">
                  <w:txbxContent>
                    <w:p>
                      <w:pPr>
                        <w:rPr>
                          <w:rFonts w:hint="eastAsia"/>
                        </w:rPr>
                      </w:pPr>
                    </w:p>
                    <w:p>
                      <w:r>
                        <w:rPr>
                          <w:rFonts w:hint="eastAsia"/>
                          <w:b w:val="0"/>
                          <w:bCs/>
                          <w:sz w:val="20"/>
                          <w:szCs w:val="20"/>
                        </w:rPr>
                        <w:t>第一联 公司留存（白） 第二联 营业部留存（蓝） 第三联 客户留存（粉）</w:t>
                      </w:r>
                    </w:p>
                  </w:txbxContent>
                </v:textbox>
              </v:shape>
            </w:pict>
          </mc:Fallback>
        </mc:AlternateContent>
      </w:r>
      <w:r>
        <w:rPr>
          <w:rFonts w:hint="eastAsia" w:ascii="黑体" w:hAnsi="宋体" w:eastAsia="黑体"/>
          <w:bCs/>
          <w:color w:val="auto"/>
          <w:sz w:val="30"/>
          <w:szCs w:val="30"/>
          <w:highlight w:val="none"/>
        </w:rPr>
        <w:t>有效性、持续性等带来不利影响时，您可能会难以或无法将持有的未平仓期货合约或期权合约平仓。如出现这类情况，您的所有保证金有可能无法弥补全部损失，您必须承担由此导致的全部损失。</w:t>
      </w:r>
    </w:p>
    <w:p>
      <w:pPr>
        <w:numPr>
          <w:ilvl w:val="0"/>
          <w:numId w:val="1"/>
        </w:numPr>
        <w:adjustRightInd w:val="0"/>
        <w:snapToGrid w:val="0"/>
        <w:spacing w:line="560" w:lineRule="exact"/>
        <w:ind w:left="0" w:firstLine="602" w:firstLineChars="200"/>
        <w:rPr>
          <w:rFonts w:hint="eastAsia" w:ascii="黑体" w:hAnsi="宋体" w:eastAsia="黑体"/>
          <w:bCs/>
          <w:color w:val="auto"/>
          <w:sz w:val="30"/>
          <w:szCs w:val="30"/>
          <w:highlight w:val="none"/>
        </w:rPr>
      </w:pPr>
      <w:r>
        <w:rPr>
          <w:rFonts w:hint="eastAsia" w:ascii="黑体" w:hAnsi="宋体" w:eastAsia="黑体"/>
          <w:bCs/>
          <w:color w:val="auto"/>
          <w:sz w:val="30"/>
          <w:szCs w:val="30"/>
          <w:highlight w:val="none"/>
        </w:rPr>
        <w:t>您应当充分了解到，由于国家法律法规的变化、期货交易所交易规则的修改、紧急措施的出台等原因，您持有的未平仓合约可能无法继续持有，您必须承担由此导致的全部损失。</w:t>
      </w:r>
    </w:p>
    <w:p>
      <w:pPr>
        <w:numPr>
          <w:ilvl w:val="0"/>
          <w:numId w:val="1"/>
        </w:numPr>
        <w:adjustRightInd w:val="0"/>
        <w:snapToGrid w:val="0"/>
        <w:spacing w:line="560" w:lineRule="exact"/>
        <w:ind w:left="0" w:firstLine="602" w:firstLineChars="200"/>
        <w:rPr>
          <w:rFonts w:hint="eastAsia" w:ascii="黑体" w:hAnsi="宋体" w:eastAsia="黑体"/>
          <w:bCs/>
          <w:color w:val="auto"/>
          <w:sz w:val="30"/>
          <w:szCs w:val="30"/>
          <w:highlight w:val="none"/>
        </w:rPr>
      </w:pPr>
      <w:r>
        <w:rPr>
          <w:rFonts w:hint="eastAsia" w:ascii="黑体" w:hAnsi="宋体" w:eastAsia="黑体"/>
          <w:bCs/>
          <w:color w:val="auto"/>
          <w:sz w:val="30"/>
          <w:szCs w:val="30"/>
          <w:highlight w:val="none"/>
        </w:rPr>
        <w:t>您应当充分了解到，交易所根据法律法规规定和中国证监会授权可能会对期货合约或期权合约的交易和行权（履约）进行一些限制。交易所有权根据市场需要暂停期货合约或期权合约交易，如果标的期货合约暂停交易， 对应期权合约交易也将暂停交易。</w:t>
      </w:r>
    </w:p>
    <w:p>
      <w:pPr>
        <w:numPr>
          <w:ilvl w:val="0"/>
          <w:numId w:val="1"/>
        </w:numPr>
        <w:adjustRightInd w:val="0"/>
        <w:snapToGrid w:val="0"/>
        <w:spacing w:line="560" w:lineRule="exact"/>
        <w:ind w:left="0" w:firstLine="602" w:firstLineChars="200"/>
        <w:rPr>
          <w:rFonts w:hint="eastAsia" w:ascii="黑体" w:hAnsi="宋体" w:eastAsia="黑体"/>
          <w:bCs/>
          <w:color w:val="auto"/>
          <w:sz w:val="30"/>
          <w:szCs w:val="30"/>
          <w:highlight w:val="none"/>
        </w:rPr>
      </w:pPr>
      <w:r>
        <w:rPr>
          <w:rFonts w:hint="eastAsia" w:ascii="黑体" w:hAnsi="宋体" w:eastAsia="黑体"/>
          <w:bCs/>
          <w:color w:val="auto"/>
          <w:sz w:val="30"/>
          <w:szCs w:val="30"/>
          <w:highlight w:val="none"/>
        </w:rPr>
        <w:t>您应当充分了解到，由于非期货交易所或者期货公司所能控制的原因，例如：地震、水灾、火灾等不可抗力因素或者计算机系统、通讯系统故障等，可能造成您的指令无法成交或者无法全部成交，您必须承担由此导致的损失。</w:t>
      </w:r>
    </w:p>
    <w:p>
      <w:pPr>
        <w:numPr>
          <w:ilvl w:val="0"/>
          <w:numId w:val="1"/>
        </w:numPr>
        <w:adjustRightInd w:val="0"/>
        <w:snapToGrid w:val="0"/>
        <w:spacing w:line="560" w:lineRule="exact"/>
        <w:ind w:left="0" w:firstLine="602" w:firstLineChars="200"/>
        <w:rPr>
          <w:rFonts w:hint="eastAsia" w:ascii="黑体" w:hAnsi="宋体" w:eastAsia="黑体"/>
          <w:bCs/>
          <w:color w:val="auto"/>
          <w:sz w:val="30"/>
          <w:szCs w:val="30"/>
          <w:highlight w:val="none"/>
        </w:rPr>
      </w:pPr>
      <w:r>
        <w:rPr>
          <w:rFonts w:hint="eastAsia" w:ascii="黑体" w:hAnsi="宋体" w:eastAsia="黑体"/>
          <w:bCs/>
          <w:color w:val="auto"/>
          <w:sz w:val="30"/>
          <w:szCs w:val="30"/>
          <w:highlight w:val="none"/>
        </w:rPr>
        <w:t>您应当充分了解到，在期货交易中，所有的交易结果须以当日交易所或结算机构的结算数据为依据。如您利用盘中即时回报的交易结果作进一步的交易，您可能会承担额外的风险。</w:t>
      </w:r>
    </w:p>
    <w:p>
      <w:pPr>
        <w:numPr>
          <w:ilvl w:val="0"/>
          <w:numId w:val="1"/>
        </w:numPr>
        <w:adjustRightInd w:val="0"/>
        <w:snapToGrid w:val="0"/>
        <w:spacing w:line="560" w:lineRule="exact"/>
        <w:ind w:left="0" w:firstLine="602" w:firstLineChars="200"/>
        <w:rPr>
          <w:rFonts w:hint="eastAsia" w:ascii="黑体" w:hAnsi="宋体" w:eastAsia="黑体"/>
          <w:bCs/>
          <w:color w:val="auto"/>
          <w:sz w:val="30"/>
          <w:szCs w:val="30"/>
          <w:highlight w:val="none"/>
        </w:rPr>
      </w:pPr>
      <w:r>
        <w:rPr>
          <w:rFonts w:hint="eastAsia" w:ascii="黑体" w:hAnsi="黑体" w:eastAsia="黑体" w:cs="黑体"/>
          <w:i w:val="0"/>
          <w:caps w:val="0"/>
          <w:color w:val="auto"/>
          <w:spacing w:val="0"/>
          <w:kern w:val="0"/>
          <w:sz w:val="30"/>
          <w:szCs w:val="30"/>
          <w:highlight w:val="none"/>
          <w:shd w:val="clear" w:color="auto" w:fill="FFFFFF"/>
          <w:lang w:val="en-US" w:eastAsia="zh-CN" w:bidi="ar"/>
        </w:rPr>
        <w:t>您应当充分了解到，如交易所因故无法及时完成结算，您可能会承担一定的风险。</w:t>
      </w:r>
    </w:p>
    <w:p>
      <w:pPr>
        <w:numPr>
          <w:ilvl w:val="0"/>
          <w:numId w:val="1"/>
        </w:numPr>
        <w:adjustRightInd w:val="0"/>
        <w:snapToGrid w:val="0"/>
        <w:spacing w:line="560" w:lineRule="exact"/>
        <w:ind w:left="0" w:firstLine="602" w:firstLineChars="200"/>
        <w:rPr>
          <w:rFonts w:ascii="黑体" w:hAnsi="宋体" w:eastAsia="黑体"/>
          <w:bCs/>
          <w:color w:val="auto"/>
          <w:sz w:val="30"/>
          <w:szCs w:val="30"/>
          <w:highlight w:val="none"/>
        </w:rPr>
      </w:pPr>
      <w:r>
        <w:rPr>
          <w:rFonts w:hint="eastAsia" w:ascii="黑体" w:hAnsi="宋体" w:eastAsia="黑体"/>
          <w:bCs/>
          <w:color w:val="auto"/>
          <w:sz w:val="30"/>
          <w:szCs w:val="30"/>
          <w:highlight w:val="none"/>
        </w:rPr>
        <w:t>您应当充分了解到，期货合约交易可能面临平仓、交割等几种后果，</w:t>
      </w:r>
      <w:r>
        <w:rPr>
          <w:rFonts w:hint="eastAsia" w:ascii="黑体" w:hAnsi="宋体" w:eastAsia="黑体"/>
          <w:bCs/>
          <w:color w:val="auto"/>
          <w:kern w:val="0"/>
          <w:sz w:val="30"/>
          <w:szCs w:val="30"/>
          <w:highlight w:val="none"/>
        </w:rPr>
        <w:t>您到时未平仓或参与交割不符合期货交易所相关业务规则规定的，需要承担被强行平仓或交割违约的风险。</w:t>
      </w:r>
    </w:p>
    <w:p>
      <w:pPr>
        <w:numPr>
          <w:ilvl w:val="0"/>
          <w:numId w:val="1"/>
        </w:numPr>
        <w:adjustRightInd w:val="0"/>
        <w:snapToGrid w:val="0"/>
        <w:spacing w:line="560" w:lineRule="exact"/>
        <w:ind w:left="0" w:firstLine="602" w:firstLineChars="200"/>
        <w:rPr>
          <w:rFonts w:ascii="黑体" w:hAnsi="宋体" w:eastAsia="黑体"/>
          <w:bCs/>
          <w:color w:val="auto"/>
          <w:sz w:val="30"/>
          <w:szCs w:val="30"/>
          <w:highlight w:val="none"/>
        </w:rPr>
      </w:pPr>
      <w:r>
        <w:rPr>
          <w:rFonts w:hint="eastAsia" w:ascii="黑体" w:hAnsi="宋体" w:eastAsia="黑体"/>
          <w:bCs/>
          <w:color w:val="auto"/>
          <w:sz w:val="30"/>
          <w:szCs w:val="30"/>
          <w:highlight w:val="none"/>
        </w:rPr>
        <w:t>您应当充分了解到，期权合约交易可能面临平仓、行权或期权到期放弃等几种后果，您应当熟知交易所期权平仓、行权的规则和程序，特别是有关实值期权到期自动行权，虚值期权到期自动放弃的交易规则，妥善处理期权持仓。如您买入期权，行权应该在交易所规定的时间内进行；如您卖出期权，则</w:t>
      </w:r>
      <w:r>
        <w:rPr>
          <w:rFonts w:ascii="黑体" w:hAnsi="宋体" w:eastAsia="黑体"/>
          <w:bCs/>
          <w:color w:val="auto"/>
          <w:sz w:val="30"/>
          <w:szCs w:val="30"/>
          <w:highlight w:val="none"/>
        </w:rPr>
        <w:t>需要</w:t>
      </w:r>
      <w:r>
        <w:rPr>
          <w:rFonts w:hint="eastAsia" w:ascii="黑体" w:hAnsi="宋体" w:eastAsia="黑体"/>
          <w:bCs/>
          <w:color w:val="auto"/>
          <w:sz w:val="30"/>
          <w:szCs w:val="30"/>
          <w:highlight w:val="none"/>
        </w:rPr>
        <w:t>按照交易所</w:t>
      </w:r>
      <w:r>
        <w:rPr>
          <w:rFonts w:ascii="黑体" w:hAnsi="宋体" w:eastAsia="黑体"/>
          <w:bCs/>
          <w:color w:val="auto"/>
          <w:sz w:val="30"/>
          <w:szCs w:val="30"/>
          <w:highlight w:val="none"/>
        </w:rPr>
        <w:t>规则承担履约责任。</w:t>
      </w:r>
      <w:r>
        <w:rPr>
          <w:rFonts w:hint="eastAsia" w:ascii="黑体" w:hAnsi="宋体" w:eastAsia="黑体"/>
          <w:bCs/>
          <w:color w:val="auto"/>
          <w:sz w:val="30"/>
          <w:szCs w:val="30"/>
          <w:highlight w:val="none"/>
        </w:rPr>
        <w:t>行权或履约后，您将获得标的期货合约，同时应当承担标的期货合约的保证金责任。</w:t>
      </w:r>
      <w:r>
        <w:rPr>
          <w:color w:val="auto"/>
          <w:sz w:val="30"/>
          <w:highlight w:val="none"/>
        </w:rPr>
        <mc:AlternateContent>
          <mc:Choice Requires="wps">
            <w:drawing>
              <wp:anchor distT="0" distB="0" distL="114300" distR="114300" simplePos="0" relativeHeight="251664384" behindDoc="1" locked="0" layoutInCell="1" allowOverlap="1">
                <wp:simplePos x="0" y="0"/>
                <wp:positionH relativeFrom="rightMargin">
                  <wp:posOffset>165100</wp:posOffset>
                </wp:positionH>
                <wp:positionV relativeFrom="topMargin">
                  <wp:posOffset>3060065</wp:posOffset>
                </wp:positionV>
                <wp:extent cx="589280" cy="5760085"/>
                <wp:effectExtent l="0" t="0" r="1270" b="12065"/>
                <wp:wrapNone/>
                <wp:docPr id="4" name="文本框 4"/>
                <wp:cNvGraphicFramePr/>
                <a:graphic xmlns:a="http://schemas.openxmlformats.org/drawingml/2006/main">
                  <a:graphicData uri="http://schemas.microsoft.com/office/word/2010/wordprocessingShape">
                    <wps:wsp>
                      <wps:cNvSpPr txBox="1"/>
                      <wps:spPr>
                        <a:xfrm>
                          <a:off x="0" y="0"/>
                          <a:ext cx="589280" cy="57600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p>
                          <w:p>
                            <w:r>
                              <w:rPr>
                                <w:rFonts w:hint="eastAsia"/>
                                <w:b w:val="0"/>
                                <w:bCs/>
                                <w:sz w:val="20"/>
                                <w:szCs w:val="20"/>
                              </w:rPr>
                              <w:t>第一联 公司留存（白） 第二联 营业部留存（蓝） 第三联 客户留存（粉）</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8.8pt;margin-top:240.95pt;height:453.55pt;width:46.4pt;mso-position-horizontal-relative:page;mso-position-vertical-relative:page;z-index:-251652096;mso-width-relative:page;mso-height-relative:page;" fillcolor="#FFFFFF [3201]" filled="t" stroked="f" coordsize="21600,21600" o:gfxdata="UEsDBAoAAAAAAIdO4kAAAAAAAAAAAAAAAAAEAAAAZHJzL1BLAwQUAAAACACHTuJAmpI9DtkAAAAL&#10;AQAADwAAAGRycy9kb3ducmV2LnhtbE2Py07DMBBF90j8gzWV2FE7BVVJiFOhSCy6AAnDhp0TOw/V&#10;Hkex+/p7pivYzWiu7pxT7S7esZNd4hRQQrYWwCx2wUw4SPj+envMgcWk0WgX0Eq42gi7+v6u0qUJ&#10;Z/y0J5UGRiUYSy1hTGkuOY/daL2O6zBbpFsfFq8TrcvAzaLPVO4d3wix5V5PSB9GPdtmtN1BHb2E&#10;QqF+V017fS0+XN/vf9TeiUbKh1UmXoAle0l/YbjhEzrUxNSGI5rInITNllSShOc8K4DdAllOLi0N&#10;T3khgNcV/+9Q/wJQSwMEFAAAAAgAh07iQE8ovPVTAgAAkQQAAA4AAABkcnMvZTJvRG9jLnhtbK1U&#10;zW7bMAy+D9g7CLovdrIkTYM6RdYiw4BiLdD9nBVZjgVIoiYpsbsHWN9gp11233PlOUbJTtp1O/Sw&#10;HGxKpD/y+0jm7LzViuyE8xJMQYeDnBJhOJTSbAr68cPq1YwSH5gpmQIjCnonPD1fvHxx1ti5GEEN&#10;qhSOIIjx88YWtA7BzrPM81po5gdghUFnBU6zgEe3yUrHGkTXKhvl+TRrwJXWARfe4+1l56Q9onsO&#10;IFSV5OIS+FYLEzpUJxQLSMnX0nq6SNVWleDhuqq8CEQVFJmG9MQkaK/jM1ucsfnGMVtL3pfAnlPC&#10;E06aSYNJj1CXLDCydfIvKC25Aw9VGHDQWUckKYIshvkTbW5rZkXiglJ7exTd/z9Y/n5344gsCzqm&#10;xDCNDd9/v9//+LX/+Y2MozyN9XOMurUYF9o30OLQHO49XkbWbeV0fCMfgn4U9+4ormgD4Xg5mZ2O&#10;Zujh6JqcTPN8Nokw2cPX1vnwVoAm0Siow+YlTdnuyocu9BASk3lQslxJpdLBbdYXypEdw0av0q9H&#10;/yNMGdIUdPp6kidkA/H7DloZLCaS7UhFK7TrtldgDeUdCuCgmyBv+UpilVfMhxvmcGSQGS5VuMZH&#10;pQCTQG9RUoP7+q/7GF9QwT7hm5IGh7Cg/suWOUGJemewy6fD8RiBQzqMJycjPLjHnvVjj9nqC0D6&#10;Q1xgy5MZ44M6mJUD/Rm3bxnzoosZjrUVFLN35kXoVgO3l4vlMgXhnFoWrsyt5RE6im1guQ1QydSU&#10;KFSnTq8fTmpqa79VcRUen1PUwz/J4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akj0O2QAAAAsB&#10;AAAPAAAAAAAAAAEAIAAAACIAAABkcnMvZG93bnJldi54bWxQSwECFAAUAAAACACHTuJATyi89VMC&#10;AACRBAAADgAAAAAAAAABACAAAAAoAQAAZHJzL2Uyb0RvYy54bWxQSwUGAAAAAAYABgBZAQAA7QUA&#10;AAAA&#10;">
                <v:fill on="t" focussize="0,0"/>
                <v:stroke on="f" weight="0.5pt"/>
                <v:imagedata o:title=""/>
                <o:lock v:ext="edit" aspectratio="f"/>
                <v:textbox style="layout-flow:vertical-ideographic;">
                  <w:txbxContent>
                    <w:p>
                      <w:pPr>
                        <w:rPr>
                          <w:rFonts w:hint="eastAsia"/>
                        </w:rPr>
                      </w:pPr>
                    </w:p>
                    <w:p>
                      <w:r>
                        <w:rPr>
                          <w:rFonts w:hint="eastAsia"/>
                          <w:b w:val="0"/>
                          <w:bCs/>
                          <w:sz w:val="20"/>
                          <w:szCs w:val="20"/>
                        </w:rPr>
                        <w:t>第一联 公司留存（白） 第二联 营业部留存（蓝） 第三联 客户留存（粉）</w:t>
                      </w:r>
                    </w:p>
                  </w:txbxContent>
                </v:textbox>
              </v:shape>
            </w:pict>
          </mc:Fallback>
        </mc:AlternateContent>
      </w:r>
    </w:p>
    <w:p>
      <w:pPr>
        <w:numPr>
          <w:ilvl w:val="0"/>
          <w:numId w:val="1"/>
        </w:numPr>
        <w:adjustRightInd w:val="0"/>
        <w:snapToGrid w:val="0"/>
        <w:spacing w:line="560" w:lineRule="exact"/>
        <w:ind w:left="0" w:firstLine="602" w:firstLineChars="200"/>
        <w:rPr>
          <w:rFonts w:hint="eastAsia" w:ascii="黑体" w:hAnsi="宋体" w:eastAsia="黑体"/>
          <w:bCs/>
          <w:color w:val="auto"/>
          <w:sz w:val="30"/>
          <w:szCs w:val="30"/>
          <w:highlight w:val="none"/>
        </w:rPr>
      </w:pPr>
      <w:r>
        <w:rPr>
          <w:rFonts w:hint="eastAsia" w:ascii="黑体" w:hAnsi="宋体" w:eastAsia="黑体"/>
          <w:bCs/>
          <w:color w:val="auto"/>
          <w:sz w:val="30"/>
          <w:szCs w:val="30"/>
          <w:highlight w:val="none"/>
        </w:rPr>
        <w:t>您应当充分了解到，“套期保值”交易同投机交易一样，同样面临价格波动引起的风险。</w:t>
      </w:r>
    </w:p>
    <w:p>
      <w:pPr>
        <w:numPr>
          <w:ilvl w:val="0"/>
          <w:numId w:val="1"/>
        </w:numPr>
        <w:adjustRightInd w:val="0"/>
        <w:snapToGrid w:val="0"/>
        <w:spacing w:line="560" w:lineRule="exact"/>
        <w:ind w:left="0" w:firstLine="602" w:firstLineChars="200"/>
        <w:rPr>
          <w:rFonts w:hint="eastAsia" w:ascii="黑体" w:hAnsi="宋体" w:eastAsia="黑体"/>
          <w:bCs/>
          <w:color w:val="auto"/>
          <w:sz w:val="30"/>
          <w:szCs w:val="30"/>
          <w:highlight w:val="none"/>
        </w:rPr>
      </w:pPr>
      <w:r>
        <w:rPr>
          <w:rFonts w:hint="eastAsia" w:ascii="黑体" w:hAnsi="宋体" w:eastAsia="黑体"/>
          <w:bCs/>
          <w:color w:val="auto"/>
          <w:sz w:val="30"/>
          <w:szCs w:val="30"/>
          <w:highlight w:val="none"/>
        </w:rPr>
        <w:t>您应当充分了解到，如果您未遵守中国证监会关于期货保证金安全存管的规定，将可能会影响您的期货保证金的安全性。</w:t>
      </w:r>
    </w:p>
    <w:p>
      <w:pPr>
        <w:numPr>
          <w:ilvl w:val="0"/>
          <w:numId w:val="1"/>
        </w:numPr>
        <w:adjustRightInd w:val="0"/>
        <w:snapToGrid w:val="0"/>
        <w:spacing w:line="560" w:lineRule="exact"/>
        <w:ind w:left="0" w:firstLine="602" w:firstLineChars="200"/>
        <w:rPr>
          <w:rFonts w:hint="eastAsia" w:ascii="黑体" w:hAnsi="宋体" w:eastAsia="黑体"/>
          <w:bCs/>
          <w:color w:val="auto"/>
          <w:sz w:val="30"/>
          <w:szCs w:val="30"/>
          <w:highlight w:val="none"/>
        </w:rPr>
      </w:pPr>
      <w:r>
        <w:rPr>
          <w:rFonts w:hint="eastAsia" w:ascii="黑体" w:hAnsi="宋体" w:eastAsia="黑体"/>
          <w:bCs/>
          <w:color w:val="auto"/>
          <w:sz w:val="30"/>
          <w:szCs w:val="30"/>
          <w:highlight w:val="none"/>
        </w:rPr>
        <w:t>您应当充分了解到，利用互联网进行期货交易时将存在但不限于以下风险，您将承担由此导致的损失：</w:t>
      </w:r>
    </w:p>
    <w:p>
      <w:pPr>
        <w:adjustRightInd w:val="0"/>
        <w:snapToGrid w:val="0"/>
        <w:spacing w:line="560" w:lineRule="exact"/>
        <w:ind w:firstLine="602" w:firstLineChars="200"/>
        <w:rPr>
          <w:rFonts w:hint="eastAsia" w:ascii="黑体" w:hAnsi="宋体" w:eastAsia="黑体"/>
          <w:bCs/>
          <w:color w:val="auto"/>
          <w:sz w:val="30"/>
          <w:szCs w:val="30"/>
          <w:highlight w:val="none"/>
        </w:rPr>
      </w:pPr>
      <w:r>
        <w:rPr>
          <w:rFonts w:hint="eastAsia" w:ascii="黑体" w:hAnsi="宋体" w:eastAsia="黑体"/>
          <w:bCs/>
          <w:color w:val="auto"/>
          <w:sz w:val="30"/>
          <w:szCs w:val="30"/>
          <w:highlight w:val="none"/>
        </w:rPr>
        <w:t>（一）由于无法控制和不可预测的系统故障、设备故障、通讯故障、电力故障、网络故障及其它因素，可能导致交易系统非正常运行甚至瘫痪，使您的交易指令出现延迟、中断、数据错误等情况；</w:t>
      </w:r>
    </w:p>
    <w:p>
      <w:pPr>
        <w:adjustRightInd w:val="0"/>
        <w:snapToGrid w:val="0"/>
        <w:spacing w:line="560" w:lineRule="exact"/>
        <w:ind w:firstLine="602" w:firstLineChars="200"/>
        <w:rPr>
          <w:rFonts w:hint="eastAsia" w:ascii="黑体" w:hAnsi="宋体" w:eastAsia="黑体"/>
          <w:bCs/>
          <w:color w:val="auto"/>
          <w:sz w:val="30"/>
          <w:szCs w:val="30"/>
          <w:highlight w:val="none"/>
        </w:rPr>
      </w:pPr>
      <w:r>
        <w:rPr>
          <w:rFonts w:hint="eastAsia" w:ascii="黑体" w:hAnsi="宋体" w:eastAsia="黑体"/>
          <w:bCs/>
          <w:color w:val="auto"/>
          <w:sz w:val="30"/>
          <w:szCs w:val="30"/>
          <w:highlight w:val="none"/>
        </w:rPr>
        <w:t>（二）由于网上交易系统存在被网络黑客和计算机病毒等攻击的可能性，由此可能导致交易系统故障，使交易无法进行及行情信息出现错误或延迟；</w:t>
      </w:r>
    </w:p>
    <w:p>
      <w:pPr>
        <w:adjustRightInd w:val="0"/>
        <w:spacing w:line="560" w:lineRule="exact"/>
        <w:ind w:firstLine="602" w:firstLineChars="200"/>
        <w:rPr>
          <w:rFonts w:hint="eastAsia" w:ascii="黑体" w:hAnsi="宋体" w:eastAsia="黑体"/>
          <w:bCs/>
          <w:color w:val="auto"/>
          <w:sz w:val="30"/>
          <w:szCs w:val="30"/>
          <w:highlight w:val="none"/>
        </w:rPr>
      </w:pPr>
      <w:r>
        <w:rPr>
          <w:rFonts w:hint="eastAsia" w:ascii="黑体" w:hAnsi="宋体" w:eastAsia="黑体"/>
          <w:bCs/>
          <w:color w:val="auto"/>
          <w:sz w:val="30"/>
          <w:szCs w:val="30"/>
          <w:highlight w:val="none"/>
        </w:rPr>
        <w:t>（三）由于互联网上的数据传输可能因通信等原因出现延迟、中断、数据错误或不完全，从而使网上交易及行情出现延迟、中断、数据错误或不完全；</w:t>
      </w:r>
    </w:p>
    <w:p>
      <w:pPr>
        <w:spacing w:line="560" w:lineRule="exact"/>
        <w:ind w:firstLine="578" w:firstLineChars="192"/>
        <w:rPr>
          <w:rFonts w:hint="eastAsia" w:ascii="黑体" w:hAnsi="宋体" w:eastAsia="黑体"/>
          <w:bCs/>
          <w:color w:val="auto"/>
          <w:sz w:val="30"/>
          <w:szCs w:val="30"/>
          <w:highlight w:val="none"/>
        </w:rPr>
      </w:pPr>
      <w:r>
        <w:rPr>
          <w:rFonts w:hint="eastAsia" w:ascii="黑体" w:hAnsi="宋体" w:eastAsia="黑体"/>
          <w:bCs/>
          <w:color w:val="auto"/>
          <w:sz w:val="30"/>
          <w:szCs w:val="30"/>
          <w:highlight w:val="none"/>
        </w:rPr>
        <w:t>（四）由于您未充分了解期货交易及行情软件的实际功能、信息来源、固有缺陷和使用风险，导致您对软件使用不当，造成决策和操作失误；</w:t>
      </w:r>
    </w:p>
    <w:p>
      <w:pPr>
        <w:adjustRightInd w:val="0"/>
        <w:spacing w:line="560" w:lineRule="exact"/>
        <w:ind w:firstLine="602" w:firstLineChars="200"/>
        <w:rPr>
          <w:rFonts w:hint="eastAsia" w:ascii="黑体" w:hAnsi="宋体" w:eastAsia="黑体"/>
          <w:bCs/>
          <w:color w:val="auto"/>
          <w:sz w:val="30"/>
          <w:szCs w:val="30"/>
          <w:highlight w:val="none"/>
        </w:rPr>
      </w:pPr>
      <w:r>
        <w:rPr>
          <w:rFonts w:hint="eastAsia" w:ascii="黑体" w:hAnsi="宋体" w:eastAsia="黑体"/>
          <w:bCs/>
          <w:color w:val="auto"/>
          <w:sz w:val="30"/>
          <w:szCs w:val="30"/>
          <w:highlight w:val="none"/>
        </w:rPr>
        <w:t>（五）您的网络终端设备及软件系统与期货公司所提供的网上交易系统不兼容，可能导致无法下达委托或委托失败；</w:t>
      </w:r>
    </w:p>
    <w:p>
      <w:pPr>
        <w:adjustRightInd w:val="0"/>
        <w:snapToGrid w:val="0"/>
        <w:spacing w:line="560" w:lineRule="exact"/>
        <w:ind w:firstLine="602" w:firstLineChars="200"/>
        <w:rPr>
          <w:rFonts w:hint="eastAsia" w:ascii="黑体" w:hAnsi="宋体" w:eastAsia="黑体"/>
          <w:bCs/>
          <w:color w:val="auto"/>
          <w:sz w:val="30"/>
          <w:szCs w:val="30"/>
          <w:highlight w:val="none"/>
        </w:rPr>
      </w:pPr>
      <w:r>
        <w:rPr>
          <w:rFonts w:hint="eastAsia" w:ascii="黑体" w:hAnsi="宋体" w:eastAsia="黑体"/>
          <w:bCs/>
          <w:color w:val="auto"/>
          <w:sz w:val="30"/>
          <w:szCs w:val="30"/>
          <w:highlight w:val="none"/>
        </w:rPr>
        <w:t>（六）如果您缺乏网上交易经验，可能因操作不当造成交易失败或交易失误；</w:t>
      </w:r>
    </w:p>
    <w:p>
      <w:pPr>
        <w:adjustRightInd w:val="0"/>
        <w:snapToGrid w:val="0"/>
        <w:spacing w:line="560" w:lineRule="exact"/>
        <w:ind w:firstLine="602" w:firstLineChars="200"/>
        <w:rPr>
          <w:rFonts w:hint="eastAsia" w:ascii="黑体" w:hAnsi="宋体" w:eastAsia="黑体"/>
          <w:bCs/>
          <w:color w:val="auto"/>
          <w:sz w:val="30"/>
          <w:szCs w:val="30"/>
          <w:highlight w:val="none"/>
        </w:rPr>
      </w:pPr>
      <w:r>
        <w:rPr>
          <w:rFonts w:hint="eastAsia" w:ascii="黑体" w:hAnsi="宋体" w:eastAsia="黑体"/>
          <w:bCs/>
          <w:color w:val="auto"/>
          <w:sz w:val="30"/>
          <w:szCs w:val="30"/>
          <w:highlight w:val="none"/>
        </w:rPr>
        <w:t>（七）您的密码失密或被盗用。</w:t>
      </w:r>
    </w:p>
    <w:p>
      <w:pPr>
        <w:numPr>
          <w:ilvl w:val="0"/>
          <w:numId w:val="1"/>
        </w:numPr>
        <w:adjustRightInd w:val="0"/>
        <w:snapToGrid w:val="0"/>
        <w:spacing w:line="560" w:lineRule="exact"/>
        <w:ind w:left="0" w:firstLine="602" w:firstLineChars="200"/>
        <w:rPr>
          <w:rFonts w:hint="eastAsia" w:ascii="黑体" w:hAnsi="宋体" w:eastAsia="黑体"/>
          <w:bCs/>
          <w:color w:val="auto"/>
          <w:sz w:val="30"/>
          <w:szCs w:val="30"/>
          <w:highlight w:val="none"/>
        </w:rPr>
      </w:pPr>
      <w:r>
        <w:rPr>
          <w:rFonts w:hint="eastAsia" w:ascii="黑体" w:hAnsi="宋体" w:eastAsia="黑体"/>
          <w:bCs/>
          <w:color w:val="auto"/>
          <w:sz w:val="30"/>
          <w:szCs w:val="30"/>
          <w:highlight w:val="none"/>
        </w:rPr>
        <w:t>您应当充分了解到，从事期货交易您应当承担的所有手续费</w:t>
      </w:r>
      <w:r>
        <w:rPr>
          <w:rFonts w:ascii="黑体" w:hAnsi="宋体" w:eastAsia="黑体"/>
          <w:bCs/>
          <w:color w:val="auto"/>
          <w:sz w:val="30"/>
          <w:szCs w:val="30"/>
          <w:highlight w:val="none"/>
        </w:rPr>
        <w:t>和</w:t>
      </w:r>
      <w:r>
        <w:rPr>
          <w:rFonts w:hint="eastAsia" w:ascii="黑体" w:hAnsi="宋体" w:eastAsia="黑体"/>
          <w:bCs/>
          <w:color w:val="auto"/>
          <w:sz w:val="30"/>
          <w:szCs w:val="30"/>
          <w:highlight w:val="none"/>
        </w:rPr>
        <w:t>相关</w:t>
      </w:r>
      <w:r>
        <w:rPr>
          <w:rFonts w:ascii="黑体" w:hAnsi="宋体" w:eastAsia="黑体"/>
          <w:bCs/>
          <w:color w:val="auto"/>
          <w:sz w:val="30"/>
          <w:szCs w:val="30"/>
          <w:highlight w:val="none"/>
        </w:rPr>
        <w:t>税费</w:t>
      </w:r>
      <w:r>
        <w:rPr>
          <w:rFonts w:hint="eastAsia" w:ascii="黑体" w:hAnsi="宋体" w:eastAsia="黑体"/>
          <w:bCs/>
          <w:color w:val="auto"/>
          <w:sz w:val="30"/>
          <w:szCs w:val="30"/>
          <w:highlight w:val="none"/>
        </w:rPr>
        <w:t>的明确解释。</w:t>
      </w:r>
    </w:p>
    <w:p>
      <w:pPr>
        <w:numPr>
          <w:ilvl w:val="0"/>
          <w:numId w:val="1"/>
        </w:numPr>
        <w:adjustRightInd w:val="0"/>
        <w:snapToGrid w:val="0"/>
        <w:spacing w:line="560" w:lineRule="exact"/>
        <w:ind w:left="0" w:firstLine="602" w:firstLineChars="200"/>
        <w:rPr>
          <w:rFonts w:hint="eastAsia" w:ascii="黑体" w:hAnsi="宋体" w:eastAsia="黑体"/>
          <w:bCs/>
          <w:color w:val="auto"/>
          <w:sz w:val="30"/>
          <w:szCs w:val="30"/>
          <w:highlight w:val="none"/>
        </w:rPr>
      </w:pPr>
      <w:r>
        <w:rPr>
          <w:rFonts w:hint="eastAsia" w:ascii="黑体" w:hAnsi="宋体" w:eastAsia="黑体"/>
          <w:bCs/>
          <w:color w:val="auto"/>
          <w:sz w:val="30"/>
          <w:szCs w:val="30"/>
          <w:highlight w:val="none"/>
        </w:rPr>
        <w:t>您应当充分了解到，如果您参与《境外交易者和境外经纪机构从事境内特定品种期货交易管理暂行办法》规定的特定品种期货交易，支</w:t>
      </w:r>
      <w:r>
        <w:rPr>
          <w:color w:val="auto"/>
          <w:sz w:val="30"/>
          <w:highlight w:val="none"/>
        </w:rPr>
        <mc:AlternateContent>
          <mc:Choice Requires="wps">
            <w:drawing>
              <wp:anchor distT="0" distB="0" distL="114300" distR="114300" simplePos="0" relativeHeight="251665408" behindDoc="1" locked="0" layoutInCell="1" allowOverlap="1">
                <wp:simplePos x="0" y="0"/>
                <wp:positionH relativeFrom="rightMargin">
                  <wp:posOffset>165100</wp:posOffset>
                </wp:positionH>
                <wp:positionV relativeFrom="topMargin">
                  <wp:posOffset>3060065</wp:posOffset>
                </wp:positionV>
                <wp:extent cx="589280" cy="5760085"/>
                <wp:effectExtent l="0" t="0" r="1270" b="12065"/>
                <wp:wrapNone/>
                <wp:docPr id="5" name="文本框 5"/>
                <wp:cNvGraphicFramePr/>
                <a:graphic xmlns:a="http://schemas.openxmlformats.org/drawingml/2006/main">
                  <a:graphicData uri="http://schemas.microsoft.com/office/word/2010/wordprocessingShape">
                    <wps:wsp>
                      <wps:cNvSpPr txBox="1"/>
                      <wps:spPr>
                        <a:xfrm>
                          <a:off x="0" y="0"/>
                          <a:ext cx="589280" cy="57600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p>
                          <w:p>
                            <w:r>
                              <w:rPr>
                                <w:rFonts w:hint="eastAsia"/>
                                <w:b w:val="0"/>
                                <w:bCs/>
                                <w:sz w:val="20"/>
                                <w:szCs w:val="20"/>
                              </w:rPr>
                              <w:t>第一联 公司留存（白） 第二联 营业部留存（蓝） 第三联 客户留存（粉）</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8.8pt;margin-top:240.95pt;height:453.55pt;width:46.4pt;mso-position-horizontal-relative:page;mso-position-vertical-relative:page;z-index:-251651072;mso-width-relative:page;mso-height-relative:page;" fillcolor="#FFFFFF [3201]" filled="t" stroked="f" coordsize="21600,21600" o:gfxdata="UEsDBAoAAAAAAIdO4kAAAAAAAAAAAAAAAAAEAAAAZHJzL1BLAwQUAAAACACHTuJAmpI9DtkAAAAL&#10;AQAADwAAAGRycy9kb3ducmV2LnhtbE2Py07DMBBF90j8gzWV2FE7BVVJiFOhSCy6AAnDhp0TOw/V&#10;Hkex+/p7pivYzWiu7pxT7S7esZNd4hRQQrYWwCx2wUw4SPj+envMgcWk0WgX0Eq42gi7+v6u0qUJ&#10;Z/y0J5UGRiUYSy1hTGkuOY/daL2O6zBbpFsfFq8TrcvAzaLPVO4d3wix5V5PSB9GPdtmtN1BHb2E&#10;QqF+V017fS0+XN/vf9TeiUbKh1UmXoAle0l/YbjhEzrUxNSGI5rInITNllSShOc8K4DdAllOLi0N&#10;T3khgNcV/+9Q/wJQSwMEFAAAAAgAh07iQNLBWAhVAgAAkQQAAA4AAABkcnMvZTJvRG9jLnhtbK1U&#10;S27bMBDdF+gdCO4byW6UOEbkwLXhooDRBEg/a5qiLAIkhyVpS+4Bmht01U33PVfO0SGlfJp2kUW9&#10;oIac4Zt5jzM+v+i0InvhvART0tFRTokwHCpptiX9+GH1akKJD8xUTIERJT0ITy9mL1+ct3YqxtCA&#10;qoQjCGL8tLUlbUKw0yzzvBGa+SOwwqCzBqdZwK3bZpVjLaJrlY3z/CRrwVXWARfe4+myd9IB0T0H&#10;EOpacrEEvtPChB7VCcUCUvKNtJ7OUrV1LXi4rGsvAlElRaYhrZgE7U1cs9k5m24ds43kQwnsOSU8&#10;4aSZNJj0HmrJAiM7J/+C0pI78FCHIw4664kkRZDFKH+izXXDrEhcUGpv70X3/w+Wv99fOSKrkhaU&#10;GKbxwW+/39z++HX78xspojyt9VOMurYYF7o30GHT3J17PIysu9rp+EU+BP0o7uFeXNEFwvGwmJyN&#10;J+jh6CpOT/J8kuCzh9vW+fBWgCbRKKnDx0uasv3aB6wEQ+9CYjIPSlYrqVTauO1moRzZM3zoVfrF&#10;IvHKH2HKkLakJ6+LPCEbiPf7OGUwPJLtSUUrdJtuUGAD1QEFcNB3kLd8JbHKNfPhijlsGWSGQxUu&#10;cakVYBIYLEoacF//dR7jSyrYJ/xS0mITltR/2TEnKFHvDL7y2ej4GIFD2hwXp2PcuMeezWOP2ekF&#10;IP0RDrDlyYzxQd2ZtQP9GadvHvOiixmOtZUUs/fmIvSjgdPLxXyegrBPLQtrc215hI5iG5jvAtQy&#10;PUoUqldn0A87NQk/TFUchcf7FPXwTzL7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qSPQ7ZAAAA&#10;CwEAAA8AAAAAAAAAAQAgAAAAIgAAAGRycy9kb3ducmV2LnhtbFBLAQIUABQAAAAIAIdO4kDSwVgI&#10;VQIAAJEEAAAOAAAAAAAAAAEAIAAAACgBAABkcnMvZTJvRG9jLnhtbFBLBQYAAAAABgAGAFkBAADv&#10;BQAAAAA=&#10;">
                <v:fill on="t" focussize="0,0"/>
                <v:stroke on="f" weight="0.5pt"/>
                <v:imagedata o:title=""/>
                <o:lock v:ext="edit" aspectratio="f"/>
                <v:textbox style="layout-flow:vertical-ideographic;">
                  <w:txbxContent>
                    <w:p>
                      <w:pPr>
                        <w:rPr>
                          <w:rFonts w:hint="eastAsia"/>
                        </w:rPr>
                      </w:pPr>
                    </w:p>
                    <w:p>
                      <w:r>
                        <w:rPr>
                          <w:rFonts w:hint="eastAsia"/>
                          <w:b w:val="0"/>
                          <w:bCs/>
                          <w:sz w:val="20"/>
                          <w:szCs w:val="20"/>
                        </w:rPr>
                        <w:t>第一联 公司留存（白） 第二联 营业部留存（蓝） 第三联 客户留存（粉）</w:t>
                      </w:r>
                    </w:p>
                  </w:txbxContent>
                </v:textbox>
              </v:shape>
            </w:pict>
          </mc:Fallback>
        </mc:AlternateContent>
      </w:r>
      <w:r>
        <w:rPr>
          <w:rFonts w:hint="eastAsia" w:ascii="黑体" w:hAnsi="宋体" w:eastAsia="黑体"/>
          <w:bCs/>
          <w:color w:val="auto"/>
          <w:sz w:val="30"/>
          <w:szCs w:val="30"/>
          <w:highlight w:val="none"/>
        </w:rPr>
        <w:t>付的与本合同、期货合约等相关的款项涉及货币兑换的，您将承担汇率波动风险。</w:t>
      </w:r>
    </w:p>
    <w:p>
      <w:pPr>
        <w:adjustRightInd w:val="0"/>
        <w:snapToGrid w:val="0"/>
        <w:spacing w:line="560" w:lineRule="exact"/>
        <w:ind w:firstLine="504"/>
        <w:rPr>
          <w:rFonts w:hint="eastAsia" w:ascii="黑体" w:hAnsi="宋体" w:eastAsia="黑体"/>
          <w:bCs/>
          <w:color w:val="auto"/>
          <w:sz w:val="30"/>
          <w:szCs w:val="30"/>
          <w:highlight w:val="none"/>
        </w:rPr>
      </w:pPr>
      <w:r>
        <w:rPr>
          <w:rFonts w:hint="eastAsia" w:ascii="黑体" w:hAnsi="宋体" w:eastAsia="黑体"/>
          <w:bCs/>
          <w:color w:val="auto"/>
          <w:sz w:val="30"/>
          <w:szCs w:val="30"/>
          <w:highlight w:val="none"/>
        </w:rPr>
        <w:t xml:space="preserve"> 本《期货交易风险说明书》无法揭示从事期货交易的所有风险和有关期货市场的全部情形。您在入市交易之前，应当全面了解期货交易法律法规、期货交易所及期货公司的业务规则，全面评估自身的经济实力、产品认知能力、风险控制能力、生理及心理承受能力（仅对自然人客户而言）等，审慎决定是否参与期货交易。</w:t>
      </w:r>
    </w:p>
    <w:p>
      <w:pPr>
        <w:adjustRightInd w:val="0"/>
        <w:snapToGrid w:val="0"/>
        <w:spacing w:line="560" w:lineRule="exact"/>
        <w:rPr>
          <w:rFonts w:hint="eastAsia" w:ascii="黑体" w:hAnsi="宋体" w:eastAsia="黑体"/>
          <w:b w:val="0"/>
          <w:bCs/>
          <w:color w:val="auto"/>
          <w:sz w:val="32"/>
          <w:szCs w:val="32"/>
          <w:highlight w:val="none"/>
        </w:rPr>
      </w:pPr>
    </w:p>
    <w:p>
      <w:pPr>
        <w:adjustRightInd w:val="0"/>
        <w:snapToGrid w:val="0"/>
        <w:spacing w:line="560" w:lineRule="exact"/>
        <w:rPr>
          <w:rFonts w:hint="eastAsia" w:ascii="黑体" w:hAnsi="宋体" w:eastAsia="黑体"/>
          <w:b/>
          <w:bCs w:val="0"/>
          <w:color w:val="auto"/>
          <w:sz w:val="30"/>
          <w:szCs w:val="30"/>
          <w:highlight w:val="none"/>
        </w:rPr>
      </w:pPr>
      <w:r>
        <w:rPr>
          <w:rFonts w:hint="eastAsia" w:ascii="黑体" w:hAnsi="宋体" w:eastAsia="黑体"/>
          <w:b w:val="0"/>
          <w:bCs/>
          <w:color w:val="auto"/>
          <w:sz w:val="32"/>
          <w:szCs w:val="32"/>
          <w:highlight w:val="none"/>
        </w:rPr>
        <w:t xml:space="preserve">    </w:t>
      </w:r>
      <w:r>
        <w:rPr>
          <w:rFonts w:hint="eastAsia" w:ascii="黑体" w:hAnsi="宋体" w:eastAsia="黑体"/>
          <w:b/>
          <w:bCs w:val="0"/>
          <w:color w:val="auto"/>
          <w:sz w:val="30"/>
          <w:szCs w:val="30"/>
          <w:highlight w:val="none"/>
          <w:u w:val="single"/>
        </w:rPr>
        <w:t>以上《期货交易风险说明书》的各项内容，本人/单位已阅读并完全理解。</w:t>
      </w:r>
    </w:p>
    <w:bookmarkEnd w:id="0"/>
    <w:p>
      <w:pPr>
        <w:pageBreakBefore w:val="0"/>
        <w:kinsoku/>
        <w:overflowPunct/>
        <w:topLinePunct w:val="0"/>
        <w:bidi w:val="0"/>
        <w:adjustRightInd w:val="0"/>
        <w:snapToGrid w:val="0"/>
        <w:spacing w:line="240" w:lineRule="auto"/>
        <w:ind w:firstLine="562" w:firstLineChars="100"/>
        <w:rPr>
          <w:rFonts w:hint="eastAsia" w:ascii="宋体" w:hAnsi="宋体" w:eastAsia="宋体" w:cs="宋体"/>
          <w:bCs w:val="0"/>
          <w:color w:val="auto"/>
          <w:sz w:val="56"/>
          <w:szCs w:val="72"/>
          <w:highlight w:val="none"/>
          <w:u w:val="single"/>
        </w:rPr>
      </w:pPr>
      <w:r>
        <w:rPr>
          <w:rFonts w:hint="eastAsia" w:ascii="宋体" w:hAnsi="宋体" w:eastAsia="宋体" w:cs="宋体"/>
          <w:bCs w:val="0"/>
          <w:color w:val="auto"/>
          <w:sz w:val="56"/>
          <w:szCs w:val="72"/>
          <w:highlight w:val="none"/>
          <w:u w:val="single"/>
        </w:rPr>
        <w:t>　　　　　　　　　　　　　　　　</w:t>
      </w:r>
    </w:p>
    <w:p>
      <w:pPr>
        <w:pageBreakBefore w:val="0"/>
        <w:kinsoku/>
        <w:overflowPunct/>
        <w:topLinePunct w:val="0"/>
        <w:bidi w:val="0"/>
        <w:adjustRightInd w:val="0"/>
        <w:snapToGrid w:val="0"/>
        <w:spacing w:line="240" w:lineRule="auto"/>
        <w:ind w:firstLine="562" w:firstLineChars="100"/>
        <w:rPr>
          <w:rFonts w:hint="eastAsia" w:ascii="宋体" w:hAnsi="宋体" w:eastAsia="宋体" w:cs="宋体"/>
          <w:bCs w:val="0"/>
          <w:color w:val="auto"/>
          <w:sz w:val="56"/>
          <w:szCs w:val="72"/>
          <w:highlight w:val="none"/>
          <w:u w:val="single"/>
        </w:rPr>
      </w:pPr>
      <w:r>
        <w:rPr>
          <w:rFonts w:hint="eastAsia" w:ascii="宋体" w:hAnsi="宋体" w:eastAsia="宋体" w:cs="宋体"/>
          <w:bCs w:val="0"/>
          <w:color w:val="auto"/>
          <w:sz w:val="56"/>
          <w:szCs w:val="72"/>
          <w:highlight w:val="none"/>
          <w:u w:val="single"/>
        </w:rPr>
        <w:t>　　　　　　　　　　　　　　　　</w:t>
      </w:r>
    </w:p>
    <w:p>
      <w:pPr>
        <w:pageBreakBefore w:val="0"/>
        <w:kinsoku/>
        <w:overflowPunct/>
        <w:topLinePunct w:val="0"/>
        <w:bidi w:val="0"/>
        <w:adjustRightInd w:val="0"/>
        <w:snapToGrid w:val="0"/>
        <w:spacing w:line="360" w:lineRule="auto"/>
        <w:ind w:firstLine="504" w:firstLineChars="0"/>
        <w:rPr>
          <w:rFonts w:hint="eastAsia" w:ascii="宋体" w:hAnsi="宋体" w:eastAsia="宋体" w:cs="宋体"/>
          <w:bCs w:val="0"/>
          <w:color w:val="auto"/>
          <w:sz w:val="30"/>
          <w:szCs w:val="30"/>
          <w:highlight w:val="none"/>
        </w:rPr>
      </w:pPr>
      <w:r>
        <w:rPr>
          <w:rFonts w:hint="eastAsia" w:ascii="宋体" w:hAnsi="宋体" w:eastAsia="宋体" w:cs="宋体"/>
          <w:bCs w:val="0"/>
          <w:color w:val="auto"/>
          <w:sz w:val="30"/>
          <w:szCs w:val="30"/>
          <w:highlight w:val="none"/>
        </w:rPr>
        <w:t>　(请抄写以上划线部分)</w:t>
      </w:r>
    </w:p>
    <w:p>
      <w:pPr>
        <w:pageBreakBefore w:val="0"/>
        <w:kinsoku/>
        <w:overflowPunct/>
        <w:topLinePunct w:val="0"/>
        <w:bidi w:val="0"/>
        <w:adjustRightInd w:val="0"/>
        <w:snapToGrid w:val="0"/>
        <w:spacing w:line="360" w:lineRule="auto"/>
        <w:ind w:firstLine="504" w:firstLineChars="0"/>
        <w:rPr>
          <w:rFonts w:hint="eastAsia" w:ascii="宋体" w:hAnsi="宋体" w:eastAsia="宋体" w:cs="宋体"/>
          <w:bCs w:val="0"/>
          <w:color w:val="auto"/>
          <w:sz w:val="30"/>
          <w:szCs w:val="30"/>
          <w:highlight w:val="none"/>
        </w:rPr>
      </w:pPr>
      <w:r>
        <w:rPr>
          <w:rFonts w:hint="eastAsia" w:ascii="宋体" w:hAnsi="宋体" w:eastAsia="宋体" w:cs="宋体"/>
          <w:bCs w:val="0"/>
          <w:color w:val="auto"/>
          <w:sz w:val="30"/>
          <w:szCs w:val="30"/>
          <w:highlight w:val="none"/>
          <w:lang w:val="en-US" w:eastAsia="zh-CN"/>
        </w:rPr>
        <w:t xml:space="preserve">                           </w:t>
      </w:r>
      <w:r>
        <w:rPr>
          <w:rFonts w:hint="eastAsia" w:ascii="宋体" w:hAnsi="宋体" w:eastAsia="宋体" w:cs="宋体"/>
          <w:bCs w:val="0"/>
          <w:color w:val="auto"/>
          <w:sz w:val="30"/>
          <w:szCs w:val="30"/>
          <w:highlight w:val="none"/>
        </w:rPr>
        <w:t>客户（开户代理人）签字：</w:t>
      </w:r>
    </w:p>
    <w:p>
      <w:pPr>
        <w:pageBreakBefore w:val="0"/>
        <w:kinsoku/>
        <w:overflowPunct/>
        <w:topLinePunct w:val="0"/>
        <w:bidi w:val="0"/>
        <w:adjustRightInd w:val="0"/>
        <w:snapToGrid w:val="0"/>
        <w:spacing w:line="360" w:lineRule="auto"/>
        <w:ind w:firstLine="504" w:firstLineChars="0"/>
        <w:rPr>
          <w:rFonts w:hint="eastAsia" w:ascii="宋体" w:hAnsi="宋体" w:eastAsia="宋体" w:cs="宋体"/>
          <w:bCs w:val="0"/>
          <w:color w:val="auto"/>
          <w:sz w:val="30"/>
          <w:szCs w:val="30"/>
          <w:highlight w:val="none"/>
        </w:rPr>
      </w:pPr>
      <w:r>
        <w:rPr>
          <w:rFonts w:hint="eastAsia" w:ascii="宋体" w:hAnsi="宋体" w:eastAsia="宋体" w:cs="宋体"/>
          <w:bCs w:val="0"/>
          <w:color w:val="auto"/>
          <w:sz w:val="30"/>
          <w:szCs w:val="30"/>
          <w:highlight w:val="none"/>
          <w:lang w:val="en-US" w:eastAsia="zh-CN"/>
        </w:rPr>
        <w:t xml:space="preserve">                           </w:t>
      </w:r>
      <w:r>
        <w:rPr>
          <w:rFonts w:hint="eastAsia" w:ascii="宋体" w:hAnsi="宋体" w:eastAsia="宋体" w:cs="宋体"/>
          <w:bCs w:val="0"/>
          <w:color w:val="auto"/>
          <w:sz w:val="30"/>
          <w:szCs w:val="30"/>
          <w:highlight w:val="none"/>
        </w:rPr>
        <w:t>公章：</w:t>
      </w:r>
    </w:p>
    <w:p>
      <w:pPr>
        <w:pageBreakBefore w:val="0"/>
        <w:kinsoku/>
        <w:overflowPunct/>
        <w:topLinePunct w:val="0"/>
        <w:bidi w:val="0"/>
        <w:adjustRightInd w:val="0"/>
        <w:snapToGrid w:val="0"/>
        <w:spacing w:line="360" w:lineRule="auto"/>
        <w:ind w:right="0" w:firstLine="504" w:firstLineChars="0"/>
        <w:rPr>
          <w:rFonts w:hint="eastAsia" w:ascii="宋体" w:hAnsi="宋体" w:eastAsia="宋体" w:cs="宋体"/>
          <w:b/>
          <w:bCs w:val="0"/>
          <w:color w:val="auto"/>
          <w:sz w:val="30"/>
          <w:szCs w:val="30"/>
          <w:highlight w:val="none"/>
        </w:rPr>
        <w:sectPr>
          <w:footerReference r:id="rId3" w:type="default"/>
          <w:pgSz w:w="11850" w:h="16783"/>
          <w:pgMar w:top="1440" w:right="1134" w:bottom="1440" w:left="1134" w:header="851" w:footer="992" w:gutter="0"/>
          <w:pgBorders>
            <w:top w:val="none" w:sz="0" w:space="0"/>
            <w:left w:val="none" w:sz="0" w:space="0"/>
            <w:bottom w:val="none" w:sz="0" w:space="0"/>
            <w:right w:val="none" w:sz="0" w:space="0"/>
          </w:pgBorders>
          <w:pgNumType w:fmt="decimal"/>
          <w:cols w:space="720" w:num="1"/>
          <w:rtlGutter w:val="0"/>
          <w:docGrid w:linePitch="312" w:charSpace="0"/>
        </w:sectPr>
      </w:pPr>
      <w:r>
        <w:rPr>
          <w:rFonts w:hint="eastAsia" w:ascii="宋体" w:hAnsi="宋体" w:eastAsia="宋体" w:cs="宋体"/>
          <w:bCs w:val="0"/>
          <w:color w:val="auto"/>
          <w:sz w:val="30"/>
          <w:szCs w:val="30"/>
          <w:highlight w:val="none"/>
          <w:lang w:val="en-US" w:eastAsia="zh-CN"/>
        </w:rPr>
        <w:t xml:space="preserve">                           </w:t>
      </w:r>
      <w:r>
        <w:rPr>
          <w:rFonts w:hint="eastAsia" w:ascii="宋体" w:hAnsi="宋体" w:eastAsia="宋体" w:cs="宋体"/>
          <w:bCs w:val="0"/>
          <w:color w:val="auto"/>
          <w:sz w:val="30"/>
          <w:szCs w:val="30"/>
          <w:highlight w:val="none"/>
        </w:rPr>
        <w:t>签署日期：  年   月    日</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right"/>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posOffset>2687320</wp:posOffset>
              </wp:positionH>
              <wp:positionV relativeFrom="paragraph">
                <wp:posOffset>-66040</wp:posOffset>
              </wp:positionV>
              <wp:extent cx="590550" cy="241300"/>
              <wp:effectExtent l="0" t="0" r="0" b="0"/>
              <wp:wrapNone/>
              <wp:docPr id="44" name="文本框 5"/>
              <wp:cNvGraphicFramePr/>
              <a:graphic xmlns:a="http://schemas.openxmlformats.org/drawingml/2006/main">
                <a:graphicData uri="http://schemas.microsoft.com/office/word/2010/wordprocessingShape">
                  <wps:wsp>
                    <wps:cNvSpPr txBox="1"/>
                    <wps:spPr>
                      <a:xfrm>
                        <a:off x="0" y="0"/>
                        <a:ext cx="590550" cy="241300"/>
                      </a:xfrm>
                      <a:prstGeom prst="rect">
                        <a:avLst/>
                      </a:prstGeom>
                      <a:noFill/>
                      <a:ln w="9525">
                        <a:noFill/>
                      </a:ln>
                    </wps:spPr>
                    <wps:txbx>
                      <w:txbxContent>
                        <w:p>
                          <w:pPr>
                            <w:rPr>
                              <w:rFonts w:hint="eastAsia"/>
                              <w:lang w:eastAsia="zh-CN"/>
                            </w:rPr>
                          </w:pPr>
                        </w:p>
                      </w:txbxContent>
                    </wps:txbx>
                    <wps:bodyPr lIns="0" tIns="0" rIns="0" bIns="0" upright="0"/>
                  </wps:wsp>
                </a:graphicData>
              </a:graphic>
            </wp:anchor>
          </w:drawing>
        </mc:Choice>
        <mc:Fallback>
          <w:pict>
            <v:shape id="文本框 5" o:spid="_x0000_s1026" o:spt="202" type="#_x0000_t202" style="position:absolute;left:0pt;margin-left:211.6pt;margin-top:-5.2pt;height:19pt;width:46.5pt;mso-position-horizontal-relative:margin;z-index:251660288;mso-width-relative:page;mso-height-relative:page;" filled="f" stroked="f" coordsize="21600,21600" o:gfxdata="UEsDBAoAAAAAAIdO4kAAAAAAAAAAAAAAAAAEAAAAZHJzL1BLAwQUAAAACACHTuJAxefs4tkAAAAK&#10;AQAADwAAAGRycy9kb3ducmV2LnhtbE2PTU/DMAyG70j8h8hI3LakZRQoTSeE4ISE1pUDx7Tx2mqN&#10;U5rsg3+POcHR9qPXz1usz24UR5zD4ElDslQgkFpvB+o0fNSvi3sQIRqyZvSEGr4xwLq8vChMbv2J&#10;KjxuYyc4hEJuNPQxTrmUoe3RmbD0ExLfdn52JvI4d9LO5sThbpSpUpl0ZiD+0JsJn3ts99uD0/D0&#10;SdXL8PXebKpdNdT1g6K3bK/19VWiHkFEPMc/GH71WR1Kdmr8gWwQo4ZVepMyqmGRqBUIJm6TjDeN&#10;hvQuA1kW8n+F8gdQSwMEFAAAAAgAh07iQJNZDi/DAQAAewMAAA4AAABkcnMvZTJvRG9jLnhtbK1T&#10;zY7TMBC+I/EOlu80aWkQGzVdCVWLkBAg7fIAruM0lvynGbdJXwDegBMX7jxXn4Ox23TRctkDF2c8&#10;P5/n+2ayuh2tYQcFqL1r+HxWcqac9K12u4Z/fbh79ZYzjMK1wninGn5UyG/XL1+shlCrhe+9aRUw&#10;AnFYD6HhfYyhLgqUvbICZz4oR8HOgxWRrrArWhADoVtTLMryTTF4aAN4qRDJuzkH+QURngPou05L&#10;tfFyb5WLZ1RQRkSihL0OyNe5265TMn7uOlSRmYYT05hPeoTsbTqL9UrUOxCh1/LSgnhOC084WaEd&#10;PXqF2ogo2B70P1BWS/DouziT3hZnIlkRYjEvn2hz34ugMheSGsNVdPx/sPLT4Qsw3TZ8ueTMCUsT&#10;P/34fvr5+/TrG6uSPkPAmtLuAyXG8Z0faWsmP5Iz0R47sOlLhBjFSd3jVV01RibJWd2UVUURSaHF&#10;cv66zOoXj8UBML5X3rJkNBxoeFlTcfiIkRqh1CklveX8nTYmD9A4NjT8plpUueAaoQrjqDBROLea&#10;rDhuxwuvrW+PRMt8cKRp2o/JgMnYTsY+gN71eYFSLwmIZpK7uuxPGvrf95z1+M+s/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F5+zi2QAAAAoBAAAPAAAAAAAAAAEAIAAAACIAAABkcnMvZG93bnJl&#10;di54bWxQSwECFAAUAAAACACHTuJAk1kOL8MBAAB7AwAADgAAAAAAAAABACAAAAAoAQAAZHJzL2Uy&#10;b0RvYy54bWxQSwUGAAAAAAYABgBZAQAAXQUAAAAA&#10;">
              <v:fill on="f" focussize="0,0"/>
              <v:stroke on="f"/>
              <v:imagedata o:title=""/>
              <o:lock v:ext="edit" aspectratio="f"/>
              <v:textbox inset="0mm,0mm,0mm,0mm">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mr/sdIBAACjAwAADgAAAGRycy9lMm9Eb2MueG1srVPNjtMwEL4j8Q6W&#10;7zTZioUS1V2BqkVICJAWHsB17MaS/+Rxm/QF4A04ceHOc/U5duwkXbRc9sDFmfGMv5nvm8n6ZrCG&#10;HGUE7R2jV4uaEumEb7XbM/rt6+2LFSWQuGu58U4yepJAbzbPn6370Mil77xpZSQI4qDpA6NdSqGp&#10;KhCdtBwWPkiHQeWj5QnduK/ayHtEt6Za1vWrqvexDdELCYC32zFIJ8T4FECvlBZy68XBSpdG1CgN&#10;T0gJOh2Abkq3SkmRPisFMhHDKDJN5cQiaO/yWW3WvNlHHjotphb4U1p4xMly7bDoBWrLEyeHqP+B&#10;slpED16lhfC2GokURZDFVf1Im7uOB1m4oNQQLqLD/4MVn45fItEtoy9x7o5bnPj554/zrz/n39/J&#10;66xPH6DBtLuAiWl45wfcmvke8DLTHlS0+YuECMZR3dNFXTkkIvKj1XK1qjEkMDY7iF89PA8R0nvp&#10;LckGoxHHV1Tlx4+QxtQ5JVdz/lYbU0ZoHOkZfXO9vC4PLhEENw5rZBJjs9lKw26YmO18e0JiPa4A&#10;ow43nhLzwaHCeVtmI87GbjYOIep9V9YpdwLh7SFhN6XJXGGEnQrj7ArNac/ycvztl6yHf2tz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Cyav+x0gEAAKMDAAAOAAAAAAAAAAEAIAAAAB4BAABk&#10;cnMvZTJvRG9jLnhtbFBLBQYAAAAABgAGAFkBAABiBQ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chineseCountingThousand"/>
      <w:suff w:val="nothing"/>
      <w:lvlText w:val="%1、"/>
      <w:lvlJc w:val="left"/>
      <w:pPr>
        <w:ind w:left="42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733A89"/>
    <w:rsid w:val="49733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b/>
      <w:kern w:val="2"/>
      <w:sz w:val="24"/>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宋体" w:hAnsi="宋体" w:eastAsia="宋体" w:cs="Times New Roman"/>
      <w:bCs/>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cdqh</Company>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2022-09-21T03:14:00Z</dcterms:created>
  <dc:creator>王双</dc:creator>
  <cp:lastModifiedBy>王双</cp:lastModifiedBy>
  <dcterms:modified xsi:type="dcterms:W3CDTF">2022-09-21T03:14:54Z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