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财达期货期货开户云操作手册-</w:t>
      </w:r>
      <w:r>
        <w:rPr>
          <w:rFonts w:hint="eastAsia"/>
          <w:b/>
          <w:bCs/>
          <w:sz w:val="36"/>
          <w:szCs w:val="36"/>
          <w:lang w:eastAsia="zh-CN"/>
        </w:rPr>
        <w:t>修改结算账户</w:t>
      </w:r>
      <w:r>
        <w:rPr>
          <w:rFonts w:hint="eastAsia"/>
          <w:b/>
          <w:bCs/>
          <w:sz w:val="36"/>
          <w:szCs w:val="36"/>
        </w:rPr>
        <w:t>（APP）</w:t>
      </w:r>
    </w:p>
    <w:p>
      <w:pPr>
        <w:ind w:firstLine="480" w:firstLineChars="200"/>
        <w:rPr>
          <w:rFonts w:ascii="宋体" w:hAnsi="宋体" w:eastAsia="宋体" w:cs="宋体"/>
          <w:sz w:val="24"/>
          <w:szCs w:val="24"/>
        </w:rPr>
      </w:pPr>
    </w:p>
    <w:p>
      <w:pPr>
        <w:autoSpaceDE w:val="0"/>
        <w:autoSpaceDN w:val="0"/>
        <w:adjustRightInd w:val="0"/>
        <w:spacing w:line="360" w:lineRule="auto"/>
        <w:ind w:firstLine="480" w:firstLineChars="200"/>
        <w:jc w:val="left"/>
        <w:rPr>
          <w:rFonts w:hint="eastAsia" w:ascii="宋体" w:eastAsia="宋体" w:cs="宋体"/>
          <w:kern w:val="0"/>
          <w:sz w:val="24"/>
          <w:szCs w:val="24"/>
          <w:lang w:eastAsia="zh-CN"/>
        </w:rPr>
      </w:pPr>
      <w:r>
        <w:rPr>
          <w:rFonts w:hint="eastAsia" w:ascii="宋体" w:eastAsia="宋体" w:cs="宋体"/>
          <w:kern w:val="0"/>
          <w:sz w:val="24"/>
          <w:szCs w:val="24"/>
        </w:rPr>
        <w:t>通过手机完成期货公司互联网</w:t>
      </w:r>
      <w:r>
        <w:rPr>
          <w:rFonts w:hint="eastAsia" w:ascii="宋体" w:eastAsia="宋体" w:cs="宋体"/>
          <w:kern w:val="0"/>
          <w:sz w:val="24"/>
          <w:szCs w:val="24"/>
          <w:lang w:eastAsia="zh-CN"/>
        </w:rPr>
        <w:t>修改结算账户</w:t>
      </w:r>
      <w:r>
        <w:rPr>
          <w:rFonts w:hint="eastAsia" w:ascii="宋体" w:eastAsia="宋体" w:cs="宋体"/>
          <w:kern w:val="0"/>
          <w:sz w:val="24"/>
          <w:szCs w:val="24"/>
        </w:rPr>
        <w:t>的用户请首先准备好</w:t>
      </w:r>
      <w:r>
        <w:rPr>
          <w:rFonts w:hint="eastAsia" w:ascii="宋体" w:eastAsia="宋体" w:cs="宋体"/>
          <w:b/>
          <w:kern w:val="0"/>
          <w:sz w:val="24"/>
          <w:szCs w:val="24"/>
        </w:rPr>
        <w:t>二代身份证、银行卡（可提前拍照保存在手机相册中备用），并具备</w:t>
      </w:r>
      <w:r>
        <w:rPr>
          <w:rFonts w:ascii="Calibri-Bold" w:eastAsia="Calibri-Bold" w:cs="Calibri-Bold"/>
          <w:b/>
          <w:bCs/>
          <w:kern w:val="0"/>
          <w:sz w:val="24"/>
          <w:szCs w:val="24"/>
        </w:rPr>
        <w:t xml:space="preserve">Wi-Fi </w:t>
      </w:r>
      <w:r>
        <w:rPr>
          <w:rFonts w:hint="eastAsia" w:ascii="宋体" w:eastAsia="宋体" w:cs="宋体"/>
          <w:b/>
          <w:kern w:val="0"/>
          <w:sz w:val="24"/>
          <w:szCs w:val="24"/>
        </w:rPr>
        <w:t>环境</w:t>
      </w:r>
      <w:r>
        <w:rPr>
          <w:rFonts w:hint="eastAsia" w:ascii="宋体" w:eastAsia="宋体" w:cs="宋体"/>
          <w:kern w:val="0"/>
          <w:sz w:val="24"/>
          <w:szCs w:val="24"/>
        </w:rPr>
        <w:t>以保证开户环节的顺利进行。</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lang w:eastAsia="zh-CN"/>
        </w:rPr>
        <w:t>手机配置要求：</w:t>
      </w:r>
      <w:r>
        <w:rPr>
          <w:rFonts w:hint="eastAsia" w:ascii="宋体" w:eastAsia="宋体" w:cs="宋体"/>
          <w:kern w:val="0"/>
          <w:sz w:val="24"/>
          <w:szCs w:val="24"/>
        </w:rPr>
        <w:t>苹果手机版本需为</w:t>
      </w:r>
      <w:r>
        <w:rPr>
          <w:rFonts w:ascii="宋体" w:eastAsia="宋体" w:cs="宋体"/>
          <w:kern w:val="0"/>
          <w:sz w:val="24"/>
          <w:szCs w:val="24"/>
        </w:rPr>
        <w:t xml:space="preserve">ios7 </w:t>
      </w:r>
      <w:r>
        <w:rPr>
          <w:rFonts w:hint="eastAsia" w:ascii="宋体" w:eastAsia="宋体" w:cs="宋体"/>
          <w:kern w:val="0"/>
          <w:sz w:val="24"/>
          <w:szCs w:val="24"/>
        </w:rPr>
        <w:t>以上，安卓</w:t>
      </w:r>
      <w:r>
        <w:rPr>
          <w:rFonts w:hint="eastAsia" w:ascii="宋体" w:eastAsia="宋体" w:cs="宋体"/>
          <w:kern w:val="0"/>
          <w:sz w:val="24"/>
          <w:szCs w:val="24"/>
          <w:lang w:eastAsia="zh-CN"/>
        </w:rPr>
        <w:t>系统</w:t>
      </w:r>
      <w:r>
        <w:rPr>
          <w:rFonts w:hint="eastAsia" w:ascii="宋体" w:eastAsia="宋体" w:cs="宋体"/>
          <w:kern w:val="0"/>
          <w:sz w:val="24"/>
          <w:szCs w:val="24"/>
        </w:rPr>
        <w:t>需为</w:t>
      </w:r>
      <w:r>
        <w:rPr>
          <w:rFonts w:ascii="宋体" w:eastAsia="宋体" w:cs="宋体"/>
          <w:kern w:val="0"/>
          <w:sz w:val="24"/>
          <w:szCs w:val="24"/>
        </w:rPr>
        <w:t xml:space="preserve">4.4 </w:t>
      </w:r>
      <w:r>
        <w:rPr>
          <w:rFonts w:hint="eastAsia" w:ascii="宋体" w:eastAsia="宋体" w:cs="宋体"/>
          <w:kern w:val="0"/>
          <w:sz w:val="24"/>
          <w:szCs w:val="24"/>
        </w:rPr>
        <w:t>版本以上</w:t>
      </w:r>
      <w:bookmarkStart w:id="9" w:name="_GoBack"/>
      <w:bookmarkEnd w:id="9"/>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1、</w:t>
      </w:r>
      <w:r>
        <w:rPr>
          <w:rFonts w:ascii="Calibri" w:hAnsi="Calibri" w:eastAsia="宋体" w:cs="Calibri"/>
          <w:kern w:val="0"/>
          <w:sz w:val="24"/>
          <w:szCs w:val="24"/>
        </w:rPr>
        <w:t xml:space="preserve">IOS </w:t>
      </w:r>
      <w:r>
        <w:rPr>
          <w:rFonts w:hint="eastAsia" w:ascii="宋体" w:eastAsia="宋体" w:cs="宋体"/>
          <w:kern w:val="0"/>
          <w:sz w:val="24"/>
          <w:szCs w:val="24"/>
        </w:rPr>
        <w:t>版本</w:t>
      </w:r>
      <w:r>
        <w:rPr>
          <w:rFonts w:hint="eastAsia" w:ascii="宋体" w:eastAsia="宋体" w:cs="宋体"/>
          <w:kern w:val="0"/>
          <w:sz w:val="24"/>
          <w:szCs w:val="24"/>
          <w:lang w:eastAsia="zh-CN"/>
        </w:rPr>
        <w:t>手机用户可直接登录</w:t>
      </w:r>
      <w:r>
        <w:rPr>
          <w:rFonts w:hint="eastAsia" w:ascii="宋体" w:eastAsia="宋体" w:cs="宋体"/>
          <w:kern w:val="0"/>
          <w:sz w:val="24"/>
          <w:szCs w:val="24"/>
        </w:rPr>
        <w:t>苹果商店，搜索</w:t>
      </w:r>
      <w:r>
        <w:rPr>
          <w:rFonts w:ascii="Calibri" w:hAnsi="Calibri" w:eastAsia="宋体" w:cs="Calibri"/>
          <w:kern w:val="0"/>
          <w:sz w:val="24"/>
          <w:szCs w:val="24"/>
        </w:rPr>
        <w:t>“</w:t>
      </w:r>
      <w:r>
        <w:rPr>
          <w:rFonts w:hint="eastAsia" w:ascii="宋体" w:eastAsia="宋体" w:cs="宋体"/>
          <w:kern w:val="0"/>
          <w:sz w:val="24"/>
          <w:szCs w:val="24"/>
        </w:rPr>
        <w:t>期货开户云</w:t>
      </w:r>
      <w:r>
        <w:rPr>
          <w:rFonts w:hint="eastAsia" w:ascii="宋体" w:eastAsia="宋体" w:cs="宋体"/>
          <w:kern w:val="0"/>
          <w:sz w:val="24"/>
          <w:szCs w:val="24"/>
          <w:lang w:val="en-US" w:eastAsia="zh-CN"/>
        </w:rPr>
        <w:t>2019版</w:t>
      </w:r>
      <w:r>
        <w:rPr>
          <w:rFonts w:ascii="Calibri" w:hAnsi="Calibri" w:eastAsia="宋体" w:cs="Calibri"/>
          <w:kern w:val="0"/>
          <w:sz w:val="24"/>
          <w:szCs w:val="24"/>
        </w:rPr>
        <w:t>”</w:t>
      </w:r>
      <w:r>
        <w:rPr>
          <w:rFonts w:hint="eastAsia" w:ascii="宋体" w:eastAsia="宋体" w:cs="宋体"/>
          <w:kern w:val="0"/>
          <w:sz w:val="24"/>
          <w:szCs w:val="24"/>
        </w:rPr>
        <w:t>，</w:t>
      </w:r>
      <w:r>
        <w:rPr>
          <w:rFonts w:hint="eastAsia" w:ascii="宋体" w:eastAsia="宋体" w:cs="宋体"/>
          <w:kern w:val="0"/>
          <w:sz w:val="24"/>
          <w:szCs w:val="24"/>
          <w:lang w:eastAsia="zh-CN"/>
        </w:rPr>
        <w:t>也可以扫描下方二维码，</w:t>
      </w:r>
      <w:r>
        <w:rPr>
          <w:rFonts w:hint="eastAsia" w:ascii="宋体" w:eastAsia="宋体" w:cs="宋体"/>
          <w:kern w:val="0"/>
          <w:sz w:val="24"/>
          <w:szCs w:val="24"/>
        </w:rPr>
        <w:t>下载安装</w:t>
      </w:r>
      <w:r>
        <w:rPr>
          <w:rFonts w:hint="eastAsia" w:ascii="宋体" w:eastAsia="宋体" w:cs="宋体"/>
          <w:kern w:val="0"/>
          <w:sz w:val="24"/>
          <w:szCs w:val="24"/>
          <w:lang w:eastAsia="zh-CN"/>
        </w:rPr>
        <w:t>使用</w:t>
      </w:r>
      <w:r>
        <w:rPr>
          <w:rFonts w:hint="eastAsia" w:ascii="宋体" w:eastAsia="宋体" w:cs="宋体"/>
          <w:kern w:val="0"/>
          <w:sz w:val="24"/>
          <w:szCs w:val="24"/>
        </w:rPr>
        <w:t>。</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2、</w:t>
      </w:r>
      <w:r>
        <w:rPr>
          <w:rFonts w:hint="eastAsia" w:ascii="宋体" w:eastAsia="宋体" w:cs="宋体"/>
          <w:kern w:val="0"/>
          <w:sz w:val="24"/>
          <w:szCs w:val="24"/>
        </w:rPr>
        <w:t>Android版本</w:t>
      </w:r>
      <w:r>
        <w:rPr>
          <w:rFonts w:hint="eastAsia" w:ascii="宋体" w:eastAsia="宋体" w:cs="宋体"/>
          <w:kern w:val="0"/>
          <w:sz w:val="24"/>
          <w:szCs w:val="24"/>
          <w:lang w:eastAsia="zh-CN"/>
        </w:rPr>
        <w:t>手机用户请扫描下方</w:t>
      </w:r>
      <w:r>
        <w:rPr>
          <w:rFonts w:hint="eastAsia" w:ascii="宋体" w:eastAsia="宋体" w:cs="宋体"/>
          <w:kern w:val="0"/>
          <w:sz w:val="24"/>
          <w:szCs w:val="24"/>
        </w:rPr>
        <w:t>二维码</w:t>
      </w:r>
      <w:r>
        <w:rPr>
          <w:rFonts w:hint="eastAsia" w:ascii="宋体" w:eastAsia="宋体" w:cs="宋体"/>
          <w:kern w:val="0"/>
          <w:sz w:val="24"/>
          <w:szCs w:val="24"/>
          <w:lang w:eastAsia="zh-CN"/>
        </w:rPr>
        <w:t>，下载安装“期货开户云</w:t>
      </w:r>
      <w:r>
        <w:rPr>
          <w:rFonts w:hint="eastAsia" w:ascii="宋体" w:eastAsia="宋体" w:cs="宋体"/>
          <w:kern w:val="0"/>
          <w:sz w:val="24"/>
          <w:szCs w:val="24"/>
          <w:lang w:val="en-US" w:eastAsia="zh-CN"/>
        </w:rPr>
        <w:t>2019版</w:t>
      </w:r>
      <w:r>
        <w:rPr>
          <w:rFonts w:hint="eastAsia" w:ascii="宋体" w:eastAsia="宋体" w:cs="宋体"/>
          <w:kern w:val="0"/>
          <w:sz w:val="24"/>
          <w:szCs w:val="24"/>
          <w:lang w:eastAsia="zh-CN"/>
        </w:rPr>
        <w:t>”</w:t>
      </w:r>
      <w:r>
        <w:rPr>
          <w:rFonts w:hint="eastAsia" w:ascii="宋体" w:eastAsia="宋体" w:cs="宋体"/>
          <w:kern w:val="0"/>
          <w:sz w:val="24"/>
          <w:szCs w:val="24"/>
        </w:rPr>
        <w:t>。</w:t>
      </w:r>
    </w:p>
    <w:p>
      <w:pPr>
        <w:autoSpaceDE w:val="0"/>
        <w:autoSpaceDN w:val="0"/>
        <w:adjustRightInd w:val="0"/>
        <w:spacing w:line="360" w:lineRule="auto"/>
        <w:jc w:val="center"/>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2047875" cy="2047875"/>
            <wp:effectExtent l="0" t="0" r="9525" b="9525"/>
            <wp:docPr id="5" name="图片 5" descr="期货开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期货开户"/>
                    <pic:cNvPicPr>
                      <a:picLocks noChangeAspect="1"/>
                    </pic:cNvPicPr>
                  </pic:nvPicPr>
                  <pic:blipFill>
                    <a:blip r:embed="rId4"/>
                    <a:stretch>
                      <a:fillRect/>
                    </a:stretch>
                  </pic:blipFill>
                  <pic:spPr>
                    <a:xfrm>
                      <a:off x="0" y="0"/>
                      <a:ext cx="2047875" cy="2047875"/>
                    </a:xfrm>
                    <a:prstGeom prst="rect">
                      <a:avLst/>
                    </a:prstGeom>
                  </pic:spPr>
                </pic:pic>
              </a:graphicData>
            </a:graphic>
          </wp:inline>
        </w:drawing>
      </w:r>
    </w:p>
    <w:p>
      <w:pPr>
        <w:autoSpaceDE w:val="0"/>
        <w:autoSpaceDN w:val="0"/>
        <w:adjustRightInd w:val="0"/>
        <w:spacing w:line="360" w:lineRule="auto"/>
        <w:ind w:firstLine="480" w:firstLineChars="200"/>
        <w:jc w:val="left"/>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3、在财达期货博易APP和财达期货恒生APP首页点击“在线开户”，可直接进入操作页面。</w:t>
      </w:r>
    </w:p>
    <w:p>
      <w:pPr>
        <w:ind w:firstLine="480" w:firstLineChars="200"/>
        <w:rPr>
          <w:rFonts w:ascii="宋体" w:hAnsi="宋体" w:eastAsia="宋体" w:cs="宋体"/>
          <w:sz w:val="24"/>
          <w:szCs w:val="24"/>
        </w:rPr>
      </w:pPr>
    </w:p>
    <w:p>
      <w:pPr>
        <w:ind w:firstLine="480" w:firstLineChars="200"/>
        <w:rPr>
          <w:rFonts w:hint="eastAsia" w:asciiTheme="majorEastAsia" w:hAnsiTheme="majorEastAsia" w:eastAsiaTheme="majorEastAsia" w:cstheme="majorEastAsia"/>
          <w:b/>
          <w:bCs/>
          <w:i/>
          <w:iCs/>
          <w:color w:val="FF0000"/>
          <w:sz w:val="36"/>
          <w:szCs w:val="36"/>
          <w:u w:val="single"/>
        </w:rPr>
      </w:pPr>
      <w:r>
        <w:rPr>
          <w:rFonts w:ascii="宋体" w:hAnsi="宋体" w:eastAsia="宋体" w:cs="宋体"/>
          <w:color w:val="FF0000"/>
          <w:sz w:val="24"/>
          <w:szCs w:val="24"/>
        </w:rPr>
        <w:t>我司现支持关联</w:t>
      </w:r>
      <w:r>
        <w:rPr>
          <w:rFonts w:hint="eastAsia" w:ascii="宋体" w:hAnsi="宋体" w:eastAsia="宋体" w:cs="宋体"/>
          <w:color w:val="FF0000"/>
          <w:sz w:val="24"/>
          <w:szCs w:val="24"/>
          <w:lang w:eastAsia="zh-CN"/>
        </w:rPr>
        <w:t>六</w:t>
      </w:r>
      <w:r>
        <w:rPr>
          <w:rFonts w:ascii="宋体" w:hAnsi="宋体" w:eastAsia="宋体" w:cs="宋体"/>
          <w:color w:val="FF0000"/>
          <w:sz w:val="24"/>
          <w:szCs w:val="24"/>
        </w:rPr>
        <w:t>家银行的借记卡做为银期结算账户（工行、农行、中行、 建行、交行</w:t>
      </w:r>
      <w:r>
        <w:rPr>
          <w:rFonts w:hint="eastAsia" w:ascii="宋体" w:hAnsi="宋体" w:eastAsia="宋体" w:cs="宋体"/>
          <w:color w:val="FF0000"/>
          <w:sz w:val="24"/>
          <w:szCs w:val="24"/>
          <w:lang w:eastAsia="zh-CN"/>
        </w:rPr>
        <w:t>、中信</w:t>
      </w:r>
      <w:r>
        <w:rPr>
          <w:rFonts w:ascii="宋体" w:hAnsi="宋体" w:eastAsia="宋体" w:cs="宋体"/>
          <w:color w:val="FF0000"/>
          <w:sz w:val="24"/>
          <w:szCs w:val="24"/>
        </w:rPr>
        <w:t>），</w:t>
      </w:r>
      <w:r>
        <w:rPr>
          <w:rFonts w:hint="eastAsia" w:ascii="宋体" w:hAnsi="宋体" w:eastAsia="宋体" w:cs="宋体"/>
          <w:color w:val="FF0000"/>
          <w:sz w:val="24"/>
          <w:szCs w:val="24"/>
          <w:lang w:eastAsia="zh-CN"/>
        </w:rPr>
        <w:t>客户在互联网开户云上修改结算账户完毕后，还需要通过网上银行进行银期签约。</w:t>
      </w:r>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asciiTheme="majorEastAsia" w:hAnsiTheme="majorEastAsia" w:eastAsiaTheme="majorEastAsia" w:cstheme="majorEastAsia"/>
          <w:i/>
          <w:iCs/>
          <w:sz w:val="36"/>
          <w:szCs w:val="36"/>
          <w:u w:val="single"/>
        </w:rPr>
      </w:pPr>
      <w:bookmarkStart w:id="0" w:name="_Toc29362"/>
      <w:bookmarkStart w:id="1" w:name="_Toc18929418"/>
      <w:r>
        <w:rPr>
          <w:rFonts w:hint="eastAsia" w:asciiTheme="majorEastAsia" w:hAnsiTheme="majorEastAsia" w:eastAsiaTheme="majorEastAsia" w:cstheme="majorEastAsia"/>
          <w:i/>
          <w:iCs/>
          <w:sz w:val="36"/>
          <w:szCs w:val="36"/>
          <w:u w:val="single"/>
          <w:lang w:val="en-US" w:eastAsia="zh-CN"/>
        </w:rPr>
        <w:t>Step1.</w:t>
      </w:r>
      <w:r>
        <w:rPr>
          <w:rFonts w:hint="eastAsia" w:asciiTheme="majorEastAsia" w:hAnsiTheme="majorEastAsia" w:eastAsiaTheme="majorEastAsia" w:cstheme="majorEastAsia"/>
          <w:i/>
          <w:iCs/>
          <w:sz w:val="36"/>
          <w:szCs w:val="36"/>
          <w:u w:val="single"/>
        </w:rPr>
        <w:t>登录期货互联网开户云</w:t>
      </w:r>
      <w:bookmarkEnd w:id="0"/>
      <w:r>
        <w:rPr>
          <w:rFonts w:hint="eastAsia" w:asciiTheme="majorEastAsia" w:hAnsiTheme="majorEastAsia" w:eastAsiaTheme="majorEastAsia" w:cstheme="majorEastAsia"/>
          <w:i/>
          <w:iCs/>
          <w:sz w:val="36"/>
          <w:szCs w:val="36"/>
          <w:u w:val="single"/>
        </w:rPr>
        <w:t>app</w:t>
      </w:r>
      <w:bookmarkEnd w:id="1"/>
    </w:p>
    <w:p>
      <w:pPr>
        <w:pStyle w:val="5"/>
        <w:ind w:firstLine="480" w:firstLineChars="200"/>
        <w:rPr>
          <w:sz w:val="24"/>
          <w:szCs w:val="24"/>
        </w:rPr>
      </w:pPr>
      <w:r>
        <w:rPr>
          <w:rFonts w:hint="eastAsia"/>
          <w:sz w:val="24"/>
          <w:szCs w:val="24"/>
        </w:rPr>
        <w:t>打开开户云app，登录以后会出现如图所示的页面，有两种方式进行开户，第一种可以直接在输入框输入期货公司</w:t>
      </w:r>
      <w:r>
        <w:rPr>
          <w:rFonts w:hint="eastAsia"/>
          <w:b/>
          <w:bCs/>
          <w:sz w:val="24"/>
          <w:szCs w:val="24"/>
        </w:rPr>
        <w:t>编号</w:t>
      </w:r>
      <w:r>
        <w:rPr>
          <w:rFonts w:hint="eastAsia"/>
          <w:b/>
          <w:bCs/>
          <w:sz w:val="24"/>
          <w:szCs w:val="24"/>
          <w:lang w:val="en-US" w:eastAsia="zh-CN"/>
        </w:rPr>
        <w:t>(0100)</w:t>
      </w:r>
      <w:r>
        <w:rPr>
          <w:rFonts w:hint="eastAsia"/>
          <w:sz w:val="24"/>
          <w:szCs w:val="24"/>
        </w:rPr>
        <w:t>进行开户，第二种点击扫描下方二维码开户，点击下一步，接着会到业务选择页面，点击修改结算账户会进入到身份证登录登录页面，如</w:t>
      </w:r>
      <w:r>
        <w:rPr>
          <w:rFonts w:hint="eastAsia"/>
          <w:sz w:val="24"/>
          <w:szCs w:val="24"/>
          <w:lang w:eastAsia="zh-CN"/>
        </w:rPr>
        <w:t>下</w:t>
      </w:r>
      <w:r>
        <w:rPr>
          <w:rFonts w:hint="eastAsia"/>
          <w:sz w:val="24"/>
          <w:szCs w:val="24"/>
        </w:rPr>
        <w:t>图</w:t>
      </w:r>
    </w:p>
    <w:p>
      <w:pPr>
        <w:pStyle w:val="5"/>
        <w:jc w:val="center"/>
        <w:rPr>
          <w:sz w:val="24"/>
          <w:szCs w:val="24"/>
        </w:rPr>
      </w:pPr>
      <w:r>
        <w:rPr>
          <w:snapToGrid/>
          <w:sz w:val="24"/>
          <w:szCs w:val="24"/>
        </w:rPr>
        <w:drawing>
          <wp:inline distT="0" distB="0" distL="0" distR="0">
            <wp:extent cx="2695575" cy="4719320"/>
            <wp:effectExtent l="0" t="0" r="9525" b="5080"/>
            <wp:docPr id="4" name="图片 4" descr="C:\Users\HSPCAD~1\AppData\Local\Temp\WeChat Files\c00b8b5971cabaadafd5f3b01ce4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SPCAD~1\AppData\Local\Temp\WeChat Files\c00b8b5971cabaadafd5f3b01ce406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95575" cy="4719556"/>
                    </a:xfrm>
                    <a:prstGeom prst="rect">
                      <a:avLst/>
                    </a:prstGeom>
                    <a:noFill/>
                    <a:ln>
                      <a:noFill/>
                    </a:ln>
                  </pic:spPr>
                </pic:pic>
              </a:graphicData>
            </a:graphic>
          </wp:inline>
        </w:drawing>
      </w:r>
    </w:p>
    <w:p>
      <w:pPr>
        <w:pStyle w:val="5"/>
        <w:ind w:firstLine="2880" w:firstLineChars="1200"/>
        <w:rPr>
          <w:sz w:val="24"/>
          <w:szCs w:val="24"/>
        </w:rPr>
      </w:pPr>
      <w:r>
        <w:rPr>
          <w:rFonts w:hint="eastAsia"/>
          <w:sz w:val="24"/>
          <w:szCs w:val="24"/>
        </w:rPr>
        <w:t xml:space="preserve"> 输入期货公司编号页</w:t>
      </w:r>
    </w:p>
    <w:p>
      <w:pPr>
        <w:jc w:val="center"/>
        <w:rPr>
          <w:sz w:val="24"/>
          <w:szCs w:val="24"/>
        </w:rPr>
      </w:pPr>
      <w:r>
        <w:rPr>
          <w:sz w:val="24"/>
          <w:szCs w:val="24"/>
        </w:rPr>
        <w:drawing>
          <wp:inline distT="0" distB="0" distL="0" distR="0">
            <wp:extent cx="3038475" cy="5419725"/>
            <wp:effectExtent l="0" t="0" r="9525" b="9525"/>
            <wp:docPr id="14" name="图片 14" descr="C:\Users\HSPCAD~1\AppData\Local\Temp\1567992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HSPCAD~1\AppData\Local\Temp\156799273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38475" cy="5419725"/>
                    </a:xfrm>
                    <a:prstGeom prst="rect">
                      <a:avLst/>
                    </a:prstGeom>
                    <a:noFill/>
                    <a:ln>
                      <a:noFill/>
                    </a:ln>
                  </pic:spPr>
                </pic:pic>
              </a:graphicData>
            </a:graphic>
          </wp:inline>
        </w:drawing>
      </w:r>
    </w:p>
    <w:p>
      <w:pPr>
        <w:ind w:firstLine="3120" w:firstLineChars="1300"/>
        <w:rPr>
          <w:sz w:val="24"/>
          <w:szCs w:val="24"/>
        </w:rPr>
      </w:pPr>
      <w:r>
        <w:rPr>
          <w:rFonts w:hint="eastAsia"/>
          <w:sz w:val="24"/>
          <w:szCs w:val="24"/>
        </w:rPr>
        <w:t>业务选择页面</w:t>
      </w:r>
    </w:p>
    <w:p>
      <w:pPr>
        <w:pStyle w:val="5"/>
        <w:jc w:val="center"/>
        <w:rPr>
          <w:sz w:val="24"/>
          <w:szCs w:val="24"/>
        </w:rPr>
      </w:pPr>
      <w:r>
        <w:drawing>
          <wp:inline distT="0" distB="0" distL="114300" distR="114300">
            <wp:extent cx="3066415" cy="54667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066415" cy="5466715"/>
                    </a:xfrm>
                    <a:prstGeom prst="rect">
                      <a:avLst/>
                    </a:prstGeom>
                    <a:noFill/>
                    <a:ln w="9525">
                      <a:noFill/>
                    </a:ln>
                  </pic:spPr>
                </pic:pic>
              </a:graphicData>
            </a:graphic>
          </wp:inline>
        </w:drawing>
      </w:r>
    </w:p>
    <w:p>
      <w:pPr>
        <w:pStyle w:val="5"/>
        <w:ind w:firstLine="3120" w:firstLineChars="1300"/>
        <w:rPr>
          <w:sz w:val="24"/>
          <w:szCs w:val="24"/>
        </w:rPr>
      </w:pPr>
      <w:r>
        <w:rPr>
          <w:rFonts w:hint="eastAsia"/>
          <w:sz w:val="24"/>
          <w:szCs w:val="24"/>
        </w:rPr>
        <w:t>身份证登录页面</w:t>
      </w:r>
    </w:p>
    <w:p>
      <w:pPr>
        <w:pStyle w:val="5"/>
        <w:ind w:firstLine="480" w:firstLineChars="200"/>
        <w:jc w:val="center"/>
        <w:rPr>
          <w:sz w:val="24"/>
          <w:szCs w:val="24"/>
        </w:rPr>
      </w:pPr>
      <w:r>
        <w:rPr>
          <w:snapToGrid/>
          <w:sz w:val="24"/>
          <w:szCs w:val="24"/>
        </w:rPr>
        <w:drawing>
          <wp:inline distT="0" distB="0" distL="0" distR="0">
            <wp:extent cx="3048000" cy="5438775"/>
            <wp:effectExtent l="0" t="0" r="0" b="9525"/>
            <wp:docPr id="38" name="图片 38" descr="C:\Users\HSPCAD~1\AppData\Local\Temp\15679929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HSPCAD~1\AppData\Local\Temp\156799295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48000" cy="5438775"/>
                    </a:xfrm>
                    <a:prstGeom prst="rect">
                      <a:avLst/>
                    </a:prstGeom>
                    <a:noFill/>
                    <a:ln>
                      <a:noFill/>
                    </a:ln>
                  </pic:spPr>
                </pic:pic>
              </a:graphicData>
            </a:graphic>
          </wp:inline>
        </w:drawing>
      </w:r>
    </w:p>
    <w:p>
      <w:pPr>
        <w:pStyle w:val="5"/>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lang w:val="en-US" w:eastAsia="zh-CN"/>
        </w:rPr>
        <w:t xml:space="preserve">               </w:t>
      </w:r>
      <w:r>
        <w:rPr>
          <w:rFonts w:hint="eastAsia"/>
          <w:sz w:val="24"/>
          <w:szCs w:val="24"/>
        </w:rPr>
        <w:t>我的业务页面</w:t>
      </w:r>
    </w:p>
    <w:p/>
    <w:p>
      <w:pPr>
        <w:pStyle w:val="2"/>
        <w:widowControl/>
        <w:numPr>
          <w:ilvl w:val="1"/>
          <w:numId w:val="0"/>
        </w:numPr>
        <w:tabs>
          <w:tab w:val="clear" w:pos="576"/>
        </w:tabs>
        <w:topLinePunct/>
        <w:adjustRightInd w:val="0"/>
        <w:snapToGrid w:val="0"/>
        <w:spacing w:before="200" w:after="160" w:line="240" w:lineRule="atLeast"/>
        <w:ind w:leftChars="0"/>
        <w:jc w:val="center"/>
      </w:pPr>
      <w:bookmarkStart w:id="2" w:name="_Toc18929419"/>
      <w:r>
        <w:rPr>
          <w:rFonts w:hint="eastAsia" w:ascii="宋体" w:hAnsi="宋体" w:eastAsia="宋体" w:cs="宋体"/>
          <w:b/>
          <w:bCs/>
          <w:i/>
          <w:iCs/>
          <w:sz w:val="36"/>
          <w:szCs w:val="36"/>
          <w:u w:val="single"/>
          <w:lang w:val="en-US" w:eastAsia="zh-CN"/>
        </w:rPr>
        <w:t>Step2.</w:t>
      </w:r>
      <w:r>
        <w:rPr>
          <w:rFonts w:hint="eastAsia" w:ascii="宋体" w:hAnsi="宋体" w:eastAsia="宋体" w:cs="宋体"/>
          <w:b/>
          <w:bCs/>
          <w:i/>
          <w:iCs/>
          <w:sz w:val="36"/>
          <w:szCs w:val="36"/>
          <w:u w:val="single"/>
        </w:rPr>
        <w:t>上传照片</w:t>
      </w:r>
      <w:bookmarkEnd w:id="2"/>
    </w:p>
    <w:p>
      <w:pPr>
        <w:pStyle w:val="5"/>
        <w:ind w:firstLine="480" w:firstLineChars="200"/>
        <w:rPr>
          <w:sz w:val="24"/>
          <w:szCs w:val="24"/>
        </w:rPr>
      </w:pPr>
      <w:r>
        <w:rPr>
          <w:rFonts w:hint="eastAsia"/>
          <w:sz w:val="24"/>
          <w:szCs w:val="24"/>
        </w:rPr>
        <w:t>进入到上传照片页面，根据按钮提示上传身份证正面、反面和签名照等图片，上传的照片必须是近距离拍摄、画面清楚的，否则会影响到后面获取客户资料的流程。详细的注意事项请阅读页面上方的温馨提示。上传照片页面如</w:t>
      </w:r>
      <w:r>
        <w:rPr>
          <w:rFonts w:hint="eastAsia"/>
          <w:sz w:val="24"/>
          <w:szCs w:val="24"/>
          <w:lang w:eastAsia="zh-CN"/>
        </w:rPr>
        <w:t>下图</w:t>
      </w:r>
      <w:r>
        <w:rPr>
          <w:rFonts w:hint="eastAsia"/>
          <w:sz w:val="24"/>
          <w:szCs w:val="24"/>
        </w:rPr>
        <w:t>所示：</w:t>
      </w:r>
    </w:p>
    <w:p>
      <w:pPr>
        <w:jc w:val="center"/>
      </w:pPr>
      <w:r>
        <w:drawing>
          <wp:inline distT="0" distB="0" distL="0" distR="0">
            <wp:extent cx="2820670" cy="4882515"/>
            <wp:effectExtent l="0" t="0" r="17780" b="13335"/>
            <wp:docPr id="2" name="图片 2" descr="C:\Users\Administrator\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11.bmp"/>
                    <pic:cNvPicPr>
                      <a:picLocks noChangeAspect="1" noChangeArrowheads="1"/>
                    </pic:cNvPicPr>
                  </pic:nvPicPr>
                  <pic:blipFill>
                    <a:blip r:embed="rId9"/>
                    <a:srcRect/>
                    <a:stretch>
                      <a:fillRect/>
                    </a:stretch>
                  </pic:blipFill>
                  <pic:spPr>
                    <a:xfrm>
                      <a:off x="0" y="0"/>
                      <a:ext cx="2820670" cy="4882515"/>
                    </a:xfrm>
                    <a:prstGeom prst="rect">
                      <a:avLst/>
                    </a:prstGeom>
                    <a:noFill/>
                    <a:ln w="9525">
                      <a:noFill/>
                      <a:miter lim="800000"/>
                      <a:headEnd/>
                      <a:tailEnd/>
                    </a:ln>
                  </pic:spPr>
                </pic:pic>
              </a:graphicData>
            </a:graphic>
          </wp:inline>
        </w:drawing>
      </w:r>
    </w:p>
    <w:p>
      <w:pPr>
        <w:jc w:val="center"/>
      </w:pPr>
      <w:r>
        <w:rPr>
          <w:rFonts w:hint="eastAsia"/>
        </w:rPr>
        <w:t>上传身份证页面</w:t>
      </w:r>
    </w:p>
    <w:p>
      <w:pPr>
        <w:ind w:firstLine="210" w:firstLineChars="100"/>
      </w:pPr>
    </w:p>
    <w:p>
      <w:pPr>
        <w:pStyle w:val="5"/>
        <w:ind w:firstLine="480" w:firstLineChars="200"/>
        <w:rPr>
          <w:sz w:val="24"/>
          <w:szCs w:val="24"/>
        </w:rPr>
      </w:pPr>
      <w:r>
        <w:rPr>
          <w:rFonts w:hint="eastAsia"/>
          <w:sz w:val="24"/>
          <w:szCs w:val="24"/>
        </w:rPr>
        <w:t>所有照片都上传成功以后，请阅读“数字证书安全责任书”，阅读完成并同意后点击“下一步”进入到“银期绑定”页面。</w:t>
      </w:r>
    </w:p>
    <w:p>
      <w:pPr>
        <w:pStyle w:val="2"/>
        <w:widowControl/>
        <w:numPr>
          <w:ilvl w:val="1"/>
          <w:numId w:val="0"/>
        </w:numPr>
        <w:tabs>
          <w:tab w:val="clear" w:pos="576"/>
        </w:tabs>
        <w:topLinePunct/>
        <w:adjustRightInd w:val="0"/>
        <w:snapToGrid w:val="0"/>
        <w:spacing w:before="200" w:after="160" w:line="240" w:lineRule="atLeast"/>
        <w:ind w:leftChars="0"/>
        <w:jc w:val="left"/>
        <w:rPr>
          <w:rFonts w:hint="eastAsia"/>
        </w:rPr>
      </w:pPr>
      <w:bookmarkStart w:id="3" w:name="_Toc18929420"/>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asciiTheme="majorEastAsia" w:hAnsiTheme="majorEastAsia" w:eastAsiaTheme="majorEastAsia" w:cstheme="majorEastAsia"/>
          <w:b/>
          <w:bCs/>
          <w:i/>
          <w:iCs/>
          <w:sz w:val="36"/>
          <w:szCs w:val="36"/>
          <w:u w:val="single"/>
        </w:rPr>
      </w:pPr>
      <w:r>
        <w:rPr>
          <w:rFonts w:hint="eastAsia" w:asciiTheme="majorEastAsia" w:hAnsiTheme="majorEastAsia" w:eastAsiaTheme="majorEastAsia" w:cstheme="majorEastAsia"/>
          <w:b/>
          <w:bCs/>
          <w:i/>
          <w:iCs/>
          <w:sz w:val="36"/>
          <w:szCs w:val="36"/>
          <w:u w:val="single"/>
          <w:lang w:val="en-US" w:eastAsia="zh-CN"/>
        </w:rPr>
        <w:t>Step2.</w:t>
      </w:r>
      <w:r>
        <w:rPr>
          <w:rFonts w:hint="eastAsia" w:asciiTheme="majorEastAsia" w:hAnsiTheme="majorEastAsia" w:eastAsiaTheme="majorEastAsia" w:cstheme="majorEastAsia"/>
          <w:b/>
          <w:bCs/>
          <w:i/>
          <w:iCs/>
          <w:sz w:val="36"/>
          <w:szCs w:val="36"/>
          <w:u w:val="single"/>
        </w:rPr>
        <w:t>银期绑定</w:t>
      </w:r>
      <w:bookmarkEnd w:id="3"/>
    </w:p>
    <w:p>
      <w:pPr>
        <w:pStyle w:val="5"/>
        <w:ind w:firstLine="480" w:firstLineChars="200"/>
        <w:rPr>
          <w:sz w:val="24"/>
          <w:szCs w:val="24"/>
        </w:rPr>
      </w:pPr>
      <w:r>
        <w:rPr>
          <w:rFonts w:hint="eastAsia"/>
          <w:sz w:val="24"/>
          <w:szCs w:val="24"/>
        </w:rPr>
        <w:t>银期绑定页面在点击银行列表或开户行中展示出期货公司支持的所有银行，客户根据实际情况上传银行卡照片后，页面中展示自动获取的银行卡基本信息，</w:t>
      </w:r>
      <w:bookmarkStart w:id="4" w:name="_Hlk535242575"/>
      <w:r>
        <w:rPr>
          <w:rFonts w:hint="eastAsia"/>
          <w:sz w:val="24"/>
          <w:szCs w:val="24"/>
        </w:rPr>
        <w:t>详细的注意事项请阅读页面上方的温馨提示。</w:t>
      </w:r>
      <w:bookmarkEnd w:id="4"/>
      <w:r>
        <w:rPr>
          <w:rFonts w:hint="eastAsia"/>
          <w:sz w:val="24"/>
          <w:szCs w:val="24"/>
        </w:rPr>
        <w:t>如果获取的信息有不正确的地方可以自行修改，可以根据需要同时上传多张银行卡。银期绑定界面如</w:t>
      </w:r>
      <w:r>
        <w:rPr>
          <w:rFonts w:hint="eastAsia"/>
          <w:sz w:val="24"/>
          <w:szCs w:val="24"/>
          <w:lang w:eastAsia="zh-CN"/>
        </w:rPr>
        <w:t>下图</w:t>
      </w:r>
      <w:r>
        <w:rPr>
          <w:rFonts w:hint="eastAsia"/>
          <w:sz w:val="24"/>
          <w:szCs w:val="24"/>
        </w:rPr>
        <w:t>所示。</w:t>
      </w:r>
    </w:p>
    <w:p>
      <w:pPr>
        <w:pStyle w:val="5"/>
        <w:jc w:val="center"/>
        <w:rPr>
          <w:sz w:val="24"/>
          <w:szCs w:val="24"/>
        </w:rPr>
      </w:pPr>
      <w:r>
        <w:rPr>
          <w:snapToGrid/>
          <w:sz w:val="24"/>
          <w:szCs w:val="24"/>
        </w:rPr>
        <w:drawing>
          <wp:inline distT="0" distB="0" distL="0" distR="0">
            <wp:extent cx="3143250" cy="5724525"/>
            <wp:effectExtent l="0" t="0" r="0" b="9525"/>
            <wp:docPr id="37" name="图片 37" descr="C:\Users\HSPCAD~1\AppData\Local\Temp\WeChat Files\20681f2cb86d0cc2a09bcea83ce4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HSPCAD~1\AppData\Local\Temp\WeChat Files\20681f2cb86d0cc2a09bcea83ce47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43250" cy="5724525"/>
                    </a:xfrm>
                    <a:prstGeom prst="rect">
                      <a:avLst/>
                    </a:prstGeom>
                    <a:noFill/>
                    <a:ln>
                      <a:noFill/>
                    </a:ln>
                  </pic:spPr>
                </pic:pic>
              </a:graphicData>
            </a:graphic>
          </wp:inline>
        </w:drawing>
      </w:r>
    </w:p>
    <w:p>
      <w:pPr>
        <w:pStyle w:val="5"/>
        <w:ind w:left="840" w:firstLine="2835" w:firstLineChars="1350"/>
      </w:pPr>
      <w:r>
        <w:rPr>
          <w:rFonts w:hint="eastAsia"/>
        </w:rPr>
        <w:t xml:space="preserve"> 银期</w:t>
      </w:r>
      <w:bookmarkStart w:id="5" w:name="link8"/>
      <w:bookmarkEnd w:id="5"/>
      <w:r>
        <w:rPr>
          <w:rFonts w:hint="eastAsia"/>
        </w:rPr>
        <w:t>绑定</w:t>
      </w:r>
    </w:p>
    <w:p>
      <w:pPr>
        <w:pStyle w:val="5"/>
        <w:ind w:left="840" w:firstLine="480" w:firstLineChars="200"/>
        <w:rPr>
          <w:sz w:val="24"/>
          <w:szCs w:val="24"/>
        </w:rPr>
      </w:pPr>
    </w:p>
    <w:p>
      <w:pPr>
        <w:pStyle w:val="5"/>
        <w:rPr>
          <w:sz w:val="24"/>
          <w:szCs w:val="24"/>
        </w:rPr>
      </w:pPr>
      <w:r>
        <w:rPr>
          <w:rFonts w:hint="eastAsia"/>
          <w:sz w:val="24"/>
          <w:szCs w:val="24"/>
        </w:rPr>
        <w:t>银行卡信息填写完成后，点击“下一步”进入到</w:t>
      </w:r>
      <w:r>
        <w:rPr>
          <w:sz w:val="24"/>
          <w:szCs w:val="24"/>
        </w:rPr>
        <w:t>”</w:t>
      </w:r>
      <w:r>
        <w:rPr>
          <w:rFonts w:hint="eastAsia"/>
          <w:sz w:val="24"/>
          <w:szCs w:val="24"/>
        </w:rPr>
        <w:t>签署协议</w:t>
      </w:r>
      <w:r>
        <w:rPr>
          <w:sz w:val="24"/>
          <w:szCs w:val="24"/>
        </w:rPr>
        <w:t>”</w:t>
      </w:r>
      <w:r>
        <w:rPr>
          <w:rFonts w:hint="eastAsia"/>
          <w:sz w:val="24"/>
          <w:szCs w:val="24"/>
        </w:rPr>
        <w:t>页面</w:t>
      </w:r>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ascii="宋体" w:hAnsi="宋体" w:eastAsia="宋体" w:cs="宋体"/>
          <w:i/>
          <w:iCs/>
          <w:sz w:val="36"/>
          <w:szCs w:val="36"/>
          <w:u w:val="single"/>
        </w:rPr>
      </w:pPr>
      <w:bookmarkStart w:id="6" w:name="_Toc18929421"/>
      <w:bookmarkStart w:id="7" w:name="_Toc24819"/>
      <w:r>
        <w:rPr>
          <w:rFonts w:hint="eastAsia" w:ascii="宋体" w:hAnsi="宋体" w:eastAsia="宋体" w:cs="宋体"/>
          <w:i/>
          <w:iCs/>
          <w:sz w:val="36"/>
          <w:szCs w:val="36"/>
          <w:u w:val="single"/>
          <w:lang w:val="en-US" w:eastAsia="zh-CN"/>
        </w:rPr>
        <w:t>Step3.</w:t>
      </w:r>
      <w:r>
        <w:rPr>
          <w:rFonts w:hint="eastAsia" w:ascii="宋体" w:hAnsi="宋体" w:eastAsia="宋体" w:cs="宋体"/>
          <w:i/>
          <w:iCs/>
          <w:sz w:val="36"/>
          <w:szCs w:val="36"/>
          <w:u w:val="single"/>
        </w:rPr>
        <w:t>签署协议</w:t>
      </w:r>
      <w:bookmarkEnd w:id="6"/>
      <w:bookmarkEnd w:id="7"/>
    </w:p>
    <w:p>
      <w:pPr>
        <w:pStyle w:val="5"/>
        <w:ind w:firstLine="480" w:firstLineChars="200"/>
        <w:rPr>
          <w:sz w:val="24"/>
          <w:szCs w:val="24"/>
        </w:rPr>
      </w:pPr>
      <w:r>
        <w:rPr>
          <w:rFonts w:hint="eastAsia"/>
          <w:sz w:val="24"/>
          <w:szCs w:val="24"/>
        </w:rPr>
        <w:t>签署的协议是客户须知、合同书和一些风险说明，客户必须仔细阅读并同意后方可进行下一步。协议内容也是由期货公司自行定义。签署协议界面如</w:t>
      </w:r>
      <w:r>
        <w:rPr>
          <w:rFonts w:hint="eastAsia"/>
          <w:sz w:val="24"/>
          <w:szCs w:val="24"/>
          <w:lang w:eastAsia="zh-CN"/>
        </w:rPr>
        <w:t>下图</w:t>
      </w:r>
      <w:r>
        <w:rPr>
          <w:rFonts w:hint="eastAsia"/>
          <w:sz w:val="24"/>
          <w:szCs w:val="24"/>
        </w:rPr>
        <w:t>所示。</w:t>
      </w:r>
    </w:p>
    <w:p>
      <w:pPr>
        <w:jc w:val="center"/>
      </w:pPr>
      <w:r>
        <w:drawing>
          <wp:inline distT="0" distB="0" distL="114300" distR="114300">
            <wp:extent cx="2828290" cy="4914265"/>
            <wp:effectExtent l="0" t="0" r="1016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2828290" cy="4914265"/>
                    </a:xfrm>
                    <a:prstGeom prst="rect">
                      <a:avLst/>
                    </a:prstGeom>
                    <a:noFill/>
                    <a:ln w="9525">
                      <a:noFill/>
                    </a:ln>
                  </pic:spPr>
                </pic:pic>
              </a:graphicData>
            </a:graphic>
          </wp:inline>
        </w:drawing>
      </w:r>
    </w:p>
    <w:p>
      <w:pPr>
        <w:pStyle w:val="5"/>
        <w:ind w:firstLine="3675" w:firstLineChars="1750"/>
      </w:pPr>
      <w:r>
        <w:rPr>
          <w:rFonts w:hint="eastAsia"/>
        </w:rPr>
        <w:t>签</w:t>
      </w:r>
      <w:bookmarkStart w:id="8" w:name="link30"/>
      <w:bookmarkEnd w:id="8"/>
      <w:r>
        <w:rPr>
          <w:rFonts w:hint="eastAsia"/>
        </w:rPr>
        <w:t>署协议</w:t>
      </w:r>
    </w:p>
    <w:p>
      <w:pPr>
        <w:pStyle w:val="5"/>
        <w:ind w:left="239" w:leftChars="114" w:firstLine="480" w:firstLineChars="200"/>
        <w:jc w:val="both"/>
      </w:pPr>
      <w:r>
        <w:rPr>
          <w:rFonts w:hint="eastAsia"/>
          <w:sz w:val="24"/>
          <w:szCs w:val="24"/>
        </w:rPr>
        <w:t>若协议</w:t>
      </w:r>
      <w:r>
        <w:rPr>
          <w:sz w:val="24"/>
          <w:szCs w:val="24"/>
        </w:rPr>
        <w:t>全部签署后，</w:t>
      </w:r>
      <w:r>
        <w:rPr>
          <w:rFonts w:hint="eastAsia"/>
          <w:sz w:val="24"/>
          <w:szCs w:val="24"/>
        </w:rPr>
        <w:t>勾选我已阅读以上所有协议规则内容，点击“签署协议</w:t>
      </w:r>
      <w:r>
        <w:rPr>
          <w:sz w:val="24"/>
          <w:szCs w:val="24"/>
        </w:rPr>
        <w:t>”</w:t>
      </w:r>
      <w:r>
        <w:rPr>
          <w:rFonts w:hint="eastAsia"/>
          <w:sz w:val="24"/>
          <w:szCs w:val="24"/>
        </w:rPr>
        <w:t>就会到修改结算账户结果申请提交页面，</w:t>
      </w:r>
    </w:p>
    <w:p>
      <w:pPr>
        <w:pStyle w:val="5"/>
        <w:ind w:firstLine="480" w:firstLineChars="200"/>
        <w:rPr>
          <w:sz w:val="24"/>
          <w:szCs w:val="24"/>
        </w:rPr>
      </w:pPr>
      <w:r>
        <w:rPr>
          <w:rFonts w:hint="eastAsia"/>
          <w:sz w:val="24"/>
          <w:szCs w:val="24"/>
        </w:rPr>
        <w:t>用户点击“确定”进入到修改结算账户结果申请提交页面，客户会收到短信通知，如果开立期货成功，正确返回客户的资金账号。如果开户失败重新登录本系统，修改完善以后再提交修改结算账户结果即可。用户修改结算账户提交面如</w:t>
      </w:r>
      <w:r>
        <w:rPr>
          <w:rFonts w:hint="eastAsia"/>
          <w:sz w:val="24"/>
          <w:szCs w:val="24"/>
          <w:lang w:eastAsia="zh-CN"/>
        </w:rPr>
        <w:t>下图</w:t>
      </w:r>
      <w:r>
        <w:rPr>
          <w:rFonts w:hint="eastAsia"/>
          <w:sz w:val="24"/>
          <w:szCs w:val="24"/>
        </w:rPr>
        <w:t>所示。</w:t>
      </w:r>
    </w:p>
    <w:p>
      <w:pPr>
        <w:pStyle w:val="5"/>
        <w:jc w:val="center"/>
      </w:pPr>
      <w:r>
        <w:rPr>
          <w:snapToGrid/>
        </w:rPr>
        <w:drawing>
          <wp:inline distT="0" distB="0" distL="0" distR="0">
            <wp:extent cx="2762250" cy="4876800"/>
            <wp:effectExtent l="0" t="0" r="0" b="0"/>
            <wp:docPr id="31" name="图片 31" descr="C:\Users\HSPCAD~1\AppData\Local\Temp\WeChat Files\ed582f2fa6fb24f4560c3aa6eedd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HSPCAD~1\AppData\Local\Temp\WeChat Files\ed582f2fa6fb24f4560c3aa6eeddd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62250" cy="4876800"/>
                    </a:xfrm>
                    <a:prstGeom prst="rect">
                      <a:avLst/>
                    </a:prstGeom>
                    <a:noFill/>
                    <a:ln>
                      <a:noFill/>
                    </a:ln>
                  </pic:spPr>
                </pic:pic>
              </a:graphicData>
            </a:graphic>
          </wp:inline>
        </w:drawing>
      </w:r>
    </w:p>
    <w:p>
      <w:pPr>
        <w:pStyle w:val="5"/>
        <w:jc w:val="center"/>
      </w:pPr>
      <w:r>
        <w:rPr>
          <w:rFonts w:hint="eastAsia"/>
        </w:rPr>
        <w:t>修改结算账户提交</w:t>
      </w:r>
    </w:p>
    <w:p>
      <w:pPr>
        <w:pStyle w:val="5"/>
        <w:ind w:firstLine="480" w:firstLineChars="200"/>
        <w:rPr>
          <w:rFonts w:hint="eastAsia"/>
          <w:sz w:val="24"/>
          <w:szCs w:val="24"/>
        </w:rPr>
      </w:pPr>
    </w:p>
    <w:p>
      <w:pPr>
        <w:pStyle w:val="5"/>
        <w:ind w:firstLine="480" w:firstLineChars="200"/>
        <w:rPr>
          <w:sz w:val="24"/>
          <w:szCs w:val="24"/>
        </w:rPr>
      </w:pPr>
      <w:r>
        <w:rPr>
          <w:rFonts w:hint="eastAsia"/>
          <w:sz w:val="24"/>
          <w:szCs w:val="24"/>
        </w:rPr>
        <w:t>经过以上这些步骤，用户就修改结算账户成功了。</w:t>
      </w:r>
    </w:p>
    <w:p>
      <w:pPr>
        <w:pStyle w:val="5"/>
      </w:pPr>
    </w:p>
    <w:p>
      <w:pPr>
        <w:pStyle w:val="5"/>
        <w:ind w:firstLine="482" w:firstLineChars="200"/>
        <w:rPr>
          <w:rFonts w:hint="eastAsia"/>
          <w:b/>
          <w:bCs/>
          <w:sz w:val="24"/>
          <w:szCs w:val="24"/>
          <w:lang w:eastAsia="zh-CN"/>
        </w:rPr>
      </w:pPr>
      <w:r>
        <w:rPr>
          <w:rFonts w:hint="eastAsia"/>
          <w:b/>
          <w:bCs/>
          <w:sz w:val="24"/>
          <w:szCs w:val="24"/>
          <w:lang w:eastAsia="zh-CN"/>
        </w:rPr>
        <w:t>说明：</w:t>
      </w:r>
    </w:p>
    <w:p>
      <w:pPr>
        <w:pStyle w:val="5"/>
        <w:ind w:firstLine="480" w:firstLineChars="200"/>
        <w:rPr>
          <w:sz w:val="24"/>
          <w:szCs w:val="24"/>
        </w:rPr>
      </w:pPr>
      <w:r>
        <w:rPr>
          <w:rFonts w:hint="eastAsia"/>
          <w:sz w:val="24"/>
          <w:szCs w:val="24"/>
        </w:rPr>
        <w:t>在我的业务中，客户能够查看到当前在途的业务类型和状态还有相应的其他信息，分为待完成业务和已完成业务。</w:t>
      </w:r>
    </w:p>
    <w:p>
      <w:pPr>
        <w:pStyle w:val="5"/>
        <w:ind w:firstLine="480" w:firstLineChars="200"/>
        <w:rPr>
          <w:sz w:val="24"/>
          <w:szCs w:val="24"/>
        </w:rPr>
      </w:pPr>
      <w:r>
        <w:rPr>
          <w:rFonts w:hint="eastAsia"/>
          <w:sz w:val="24"/>
          <w:szCs w:val="24"/>
        </w:rPr>
        <w:t>在待完成业务中客户可以通过“操作”或者“放弃”按钮对当前在途业务进行相应的操作，办理状态能够展示出客户的受理单在不同状态下的信息，备注信息可以展示出，在视频见证未通过和复核任务未通过的情况下客服对客户的受理单驳回原因的展示。</w:t>
      </w:r>
    </w:p>
    <w:p>
      <w:pPr>
        <w:spacing w:line="360" w:lineRule="auto"/>
        <w:ind w:firstLine="480" w:firstLineChars="200"/>
        <w:rPr>
          <w:sz w:val="24"/>
          <w:szCs w:val="24"/>
        </w:rPr>
      </w:pPr>
      <w:r>
        <w:rPr>
          <w:rFonts w:hint="eastAsia"/>
          <w:sz w:val="24"/>
          <w:szCs w:val="24"/>
        </w:rPr>
        <w:t>若客户存在待完成业务，则无法进行其他业务操作。完成所有待办结业务，或点击“放弃”按钮放弃此业务操作后可进行其他业务。</w:t>
      </w:r>
    </w:p>
    <w:p>
      <w:pPr>
        <w:spacing w:line="360" w:lineRule="auto"/>
        <w:rPr>
          <w:sz w:val="24"/>
          <w:szCs w:val="24"/>
        </w:rPr>
      </w:pPr>
    </w:p>
    <w:p>
      <w:pPr>
        <w:spacing w:line="360" w:lineRule="auto"/>
        <w:rPr>
          <w:sz w:val="24"/>
          <w:szCs w:val="24"/>
        </w:rPr>
      </w:pPr>
    </w:p>
    <w:p>
      <w:pPr>
        <w:spacing w:line="360" w:lineRule="auto"/>
        <w:jc w:val="center"/>
      </w:pPr>
      <w:r>
        <w:drawing>
          <wp:inline distT="0" distB="0" distL="0" distR="0">
            <wp:extent cx="3067050" cy="5448300"/>
            <wp:effectExtent l="0" t="0" r="0" b="0"/>
            <wp:docPr id="39" name="图片 39" descr="C:\Users\HSPCAD~1\AppData\Local\Temp\1567994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HSPCAD~1\AppData\Local\Temp\156799431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67050" cy="5448300"/>
                    </a:xfrm>
                    <a:prstGeom prst="rect">
                      <a:avLst/>
                    </a:prstGeom>
                    <a:noFill/>
                    <a:ln>
                      <a:noFill/>
                    </a:ln>
                  </pic:spPr>
                </pic:pic>
              </a:graphicData>
            </a:graphic>
          </wp:inline>
        </w:drawing>
      </w:r>
    </w:p>
    <w:p>
      <w:pPr>
        <w:pStyle w:val="5"/>
        <w:ind w:firstLine="3570" w:firstLineChars="1700"/>
      </w:pPr>
      <w:r>
        <w:rPr>
          <w:rFonts w:hint="eastAsia"/>
        </w:rPr>
        <w:t>我的业务</w:t>
      </w:r>
    </w:p>
    <w:p>
      <w:pPr>
        <w:pStyle w:val="5"/>
        <w:rPr>
          <w:rFonts w:hint="eastAsia"/>
          <w:sz w:val="24"/>
          <w:szCs w:val="24"/>
        </w:rPr>
      </w:pPr>
    </w:p>
    <w:p>
      <w:pPr>
        <w:pStyle w:val="5"/>
        <w:rPr>
          <w:sz w:val="24"/>
          <w:szCs w:val="24"/>
        </w:rPr>
      </w:pPr>
      <w:r>
        <w:rPr>
          <w:rFonts w:hint="eastAsia"/>
          <w:sz w:val="24"/>
          <w:szCs w:val="24"/>
        </w:rPr>
        <w:t>在已完成业务中不允许客户对其进行操作。</w:t>
      </w:r>
    </w:p>
    <w:p>
      <w:pPr>
        <w:spacing w:line="360" w:lineRule="auto"/>
        <w:jc w:val="center"/>
      </w:pPr>
      <w:r>
        <w:drawing>
          <wp:inline distT="0" distB="0" distL="0" distR="0">
            <wp:extent cx="2339975" cy="4095750"/>
            <wp:effectExtent l="0" t="0" r="3175" b="0"/>
            <wp:docPr id="34" name="图片 34" descr="C:\Users\HSPCAD~1\AppData\Local\Temp\WeChat Files\405242600c53f5afe84a1628805b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HSPCAD~1\AppData\Local\Temp\WeChat Files\405242600c53f5afe84a1628805be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48471" cy="4109823"/>
                    </a:xfrm>
                    <a:prstGeom prst="rect">
                      <a:avLst/>
                    </a:prstGeom>
                    <a:noFill/>
                    <a:ln>
                      <a:noFill/>
                    </a:ln>
                  </pic:spPr>
                </pic:pic>
              </a:graphicData>
            </a:graphic>
          </wp:inline>
        </w:drawing>
      </w:r>
    </w:p>
    <w:p>
      <w:pPr>
        <w:pStyle w:val="5"/>
        <w:ind w:firstLine="3780" w:firstLineChars="1800"/>
      </w:pPr>
      <w:r>
        <w:rPr>
          <w:rFonts w:hint="eastAsia"/>
        </w:rPr>
        <w:t>我的业务</w:t>
      </w:r>
    </w:p>
    <w:p>
      <w:pPr>
        <w:pStyle w:val="5"/>
        <w:ind w:firstLine="480" w:firstLineChars="200"/>
        <w:rPr>
          <w:sz w:val="24"/>
          <w:szCs w:val="24"/>
        </w:rPr>
      </w:pPr>
      <w:r>
        <w:rPr>
          <w:rFonts w:hint="eastAsia"/>
          <w:sz w:val="24"/>
          <w:szCs w:val="24"/>
        </w:rPr>
        <w:t>客户在办理业务中，可以通过点击下方左侧我的业务进行跳转，到业务选择也可以查看我的业务中的信息并对其操作。如下图：</w:t>
      </w:r>
    </w:p>
    <w:p>
      <w:pPr>
        <w:spacing w:line="360" w:lineRule="auto"/>
        <w:jc w:val="center"/>
      </w:pPr>
      <w:r>
        <w:drawing>
          <wp:inline distT="0" distB="0" distL="0" distR="0">
            <wp:extent cx="3038475" cy="5419725"/>
            <wp:effectExtent l="0" t="0" r="9525" b="9525"/>
            <wp:docPr id="40" name="图片 40" descr="C:\Users\HSPCAD~1\AppData\Local\Temp\1567994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HSPCAD~1\AppData\Local\Temp\156799457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38475" cy="5419725"/>
                    </a:xfrm>
                    <a:prstGeom prst="rect">
                      <a:avLst/>
                    </a:prstGeom>
                    <a:noFill/>
                    <a:ln>
                      <a:noFill/>
                    </a:ln>
                  </pic:spPr>
                </pic:pic>
              </a:graphicData>
            </a:graphic>
          </wp:inline>
        </w:drawing>
      </w:r>
    </w:p>
    <w:p>
      <w:pPr>
        <w:pStyle w:val="5"/>
        <w:ind w:firstLine="2940" w:firstLineChars="1400"/>
        <w:rPr>
          <w:sz w:val="24"/>
          <w:szCs w:val="24"/>
        </w:rPr>
      </w:pPr>
      <w:r>
        <w:rPr>
          <w:rFonts w:hint="eastAsia"/>
        </w:rPr>
        <w:t>在途业务跳转我的业务</w:t>
      </w:r>
    </w:p>
    <w:p>
      <w:pPr>
        <w:jc w:val="left"/>
        <w:rPr>
          <w:rFonts w:hint="eastAsia"/>
          <w:b w:val="0"/>
          <w:bCs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Bold">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lvlText w:val="%1"/>
      <w:lvlJc w:val="left"/>
      <w:pPr>
        <w:tabs>
          <w:tab w:val="left" w:pos="537"/>
        </w:tabs>
        <w:ind w:left="537" w:hanging="432"/>
      </w:pPr>
      <w:rPr>
        <w:rFonts w:hint="eastAsia"/>
        <w:b/>
        <w:bCs/>
        <w:i w:val="0"/>
        <w:iCs w:val="0"/>
        <w:caps w:val="0"/>
        <w:strike w:val="0"/>
        <w:dstrike w:val="0"/>
        <w:vanish w:val="0"/>
        <w:color w:val="000000"/>
        <w:sz w:val="72"/>
        <w:szCs w:val="96"/>
        <w:vertAlign w:val="baseline"/>
      </w:rPr>
    </w:lvl>
    <w:lvl w:ilvl="1" w:tentative="0">
      <w:start w:val="1"/>
      <w:numFmt w:val="decimal"/>
      <w:pStyle w:val="2"/>
      <w:lvlText w:val="%1.%2"/>
      <w:lvlJc w:val="left"/>
      <w:pPr>
        <w:tabs>
          <w:tab w:val="left" w:pos="576"/>
        </w:tabs>
        <w:ind w:left="576" w:hanging="576"/>
      </w:pPr>
      <w:rPr>
        <w:rFonts w:hint="eastAsia"/>
        <w:b/>
        <w:bCs/>
        <w:i w:val="0"/>
        <w:iCs w:val="0"/>
        <w:caps w:val="0"/>
        <w:strike w:val="0"/>
        <w:dstrike w:val="0"/>
        <w:snapToGrid w:val="0"/>
        <w:vanish w:val="0"/>
        <w:spacing w:val="0"/>
        <w:kern w:val="0"/>
        <w:sz w:val="36"/>
        <w:szCs w:val="36"/>
        <w:vertAlign w:val="baseline"/>
      </w:rPr>
    </w:lvl>
    <w:lvl w:ilvl="2" w:tentative="0">
      <w:start w:val="1"/>
      <w:numFmt w:val="decimal"/>
      <w:lvlText w:val="%1.%2.%3"/>
      <w:lvlJc w:val="left"/>
      <w:pPr>
        <w:tabs>
          <w:tab w:val="left" w:pos="3130"/>
        </w:tabs>
        <w:ind w:left="3130" w:hanging="720"/>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4" w:tentative="0">
      <w:start w:val="1"/>
      <w:numFmt w:val="decimal"/>
      <w:lvlText w:val="%1.%2.%3.%4.%5"/>
      <w:lvlJc w:val="left"/>
      <w:pPr>
        <w:tabs>
          <w:tab w:val="left" w:pos="1008"/>
        </w:tabs>
        <w:ind w:left="1008" w:hanging="1008"/>
      </w:pPr>
      <w:rPr>
        <w:rFonts w:hint="eastAsia"/>
        <w:b/>
        <w:bCs/>
        <w:i w:val="0"/>
        <w:iCs w:val="0"/>
        <w:sz w:val="24"/>
        <w:szCs w:val="24"/>
        <w:u w:val="none"/>
      </w:rPr>
    </w:lvl>
    <w:lvl w:ilvl="5" w:tentative="0">
      <w:start w:val="1"/>
      <w:numFmt w:val="decimal"/>
      <w:lvlText w:val="%1.%2.%3.%4.%5.%6"/>
      <w:lvlJc w:val="left"/>
      <w:pPr>
        <w:tabs>
          <w:tab w:val="left" w:pos="1152"/>
        </w:tabs>
        <w:ind w:left="1152" w:hanging="1152"/>
      </w:pPr>
      <w:rPr>
        <w:rFonts w:hint="eastAsia"/>
        <w:b/>
        <w:bCs/>
        <w:i w:val="0"/>
        <w:iCs w:val="0"/>
        <w:color w:val="auto"/>
        <w:sz w:val="21"/>
        <w:szCs w:val="21"/>
      </w:rPr>
    </w:lvl>
    <w:lvl w:ilvl="6" w:tentative="0">
      <w:start w:val="1"/>
      <w:numFmt w:val="decimal"/>
      <w:lvlText w:val="%1.%2.%3.%4.%5.%6.%7"/>
      <w:lvlJc w:val="left"/>
      <w:pPr>
        <w:tabs>
          <w:tab w:val="left" w:pos="1296"/>
        </w:tabs>
        <w:ind w:left="1296" w:hanging="1296"/>
      </w:pPr>
      <w:rPr>
        <w:rFonts w:hint="eastAsia"/>
        <w:b w:val="0"/>
        <w:bCs/>
        <w:i w:val="0"/>
        <w:iCs w:val="0"/>
        <w:sz w:val="21"/>
        <w:szCs w:val="21"/>
        <w:u w:val="none"/>
      </w:rPr>
    </w:lvl>
    <w:lvl w:ilvl="7" w:tentative="0">
      <w:start w:val="1"/>
      <w:numFmt w:val="decimal"/>
      <w:lvlText w:val="%1.%2.%3.%4.%5.%6.%7.%8"/>
      <w:lvlJc w:val="left"/>
      <w:pPr>
        <w:tabs>
          <w:tab w:val="left" w:pos="1440"/>
        </w:tabs>
        <w:ind w:left="1440" w:hanging="1440"/>
      </w:pPr>
      <w:rPr>
        <w:rFonts w:hint="eastAsia"/>
        <w:b/>
        <w:bCs/>
        <w:i w:val="0"/>
        <w:iCs w:val="0"/>
        <w:strike w:val="0"/>
        <w:dstrike w:val="0"/>
        <w:color w:val="auto"/>
        <w:sz w:val="21"/>
        <w:szCs w:val="21"/>
        <w:vertAlign w:val="baseline"/>
      </w:rPr>
    </w:lvl>
    <w:lvl w:ilvl="8" w:tentative="0">
      <w:start w:val="1"/>
      <w:numFmt w:val="decimal"/>
      <w:lvlText w:val="%1.%2.%3.%4.%5.%6.%7.%8.%9"/>
      <w:lvlJc w:val="left"/>
      <w:pPr>
        <w:tabs>
          <w:tab w:val="left" w:pos="1584"/>
        </w:tabs>
        <w:ind w:left="1584" w:hanging="1584"/>
      </w:pPr>
      <w:rPr>
        <w:rFonts w:hint="eastAsia"/>
        <w:b/>
        <w:bCs/>
        <w:i w:val="0"/>
        <w:iCs w:val="0"/>
        <w:color w:val="auto"/>
        <w:sz w:val="21"/>
        <w:szCs w:val="21"/>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175DF"/>
    <w:rsid w:val="55F175DF"/>
    <w:rsid w:val="620A424C"/>
    <w:rsid w:val="63104DB7"/>
    <w:rsid w:val="6FA22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tabs>
        <w:tab w:val="left" w:pos="537"/>
      </w:tab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4</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2020-07-14T02:06:00Z</dcterms:created>
  <dc:creator>王双</dc:creator>
  <cp:lastModifiedBy>王双</cp:lastModifiedBy>
  <dcterms:modified xsi:type="dcterms:W3CDTF">2020-07-14T05:43:05Z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