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36"/>
          <w:szCs w:val="36"/>
        </w:rPr>
      </w:pPr>
      <w:r>
        <w:rPr>
          <w:rFonts w:hint="eastAsia"/>
          <w:b/>
          <w:bCs/>
          <w:sz w:val="36"/>
          <w:szCs w:val="36"/>
        </w:rPr>
        <w:t xml:space="preserve"> 财达期货期货开户云操作手册-修改结算账户（</w:t>
      </w:r>
      <w:r>
        <w:rPr>
          <w:rFonts w:hint="eastAsia"/>
          <w:b/>
          <w:bCs/>
          <w:sz w:val="36"/>
          <w:szCs w:val="36"/>
          <w:lang w:val="en-US" w:eastAsia="zh-CN"/>
        </w:rPr>
        <w:t>WEB</w:t>
      </w:r>
      <w:r>
        <w:rPr>
          <w:rFonts w:hint="eastAsia"/>
          <w:b/>
          <w:bCs/>
          <w:sz w:val="36"/>
          <w:szCs w:val="36"/>
        </w:rPr>
        <w:t>）</w:t>
      </w:r>
    </w:p>
    <w:p>
      <w:pPr>
        <w:ind w:firstLine="480" w:firstLineChars="200"/>
        <w:rPr>
          <w:rFonts w:hint="eastAsia" w:ascii="宋体" w:hAnsi="宋体" w:eastAsia="宋体" w:cs="宋体"/>
          <w:sz w:val="24"/>
          <w:szCs w:val="24"/>
          <w:lang w:val="en-US" w:eastAsia="zh-CN"/>
        </w:rPr>
      </w:pPr>
      <w:bookmarkStart w:id="0" w:name="_Toc10925"/>
      <w:bookmarkStart w:id="1" w:name="_Toc18932266"/>
      <w:r>
        <w:rPr>
          <w:rFonts w:ascii="宋体" w:hAnsi="宋体" w:eastAsia="宋体" w:cs="宋体"/>
          <w:sz w:val="24"/>
          <w:szCs w:val="24"/>
        </w:rPr>
        <w:t>客户需提前准备好能够上网的电脑、摄像头和麦克风等硬件设备，并</w:t>
      </w:r>
      <w:r>
        <w:rPr>
          <w:rFonts w:ascii="宋体" w:hAnsi="宋体" w:eastAsia="宋体" w:cs="宋体"/>
          <w:b/>
          <w:bCs/>
          <w:sz w:val="24"/>
          <w:szCs w:val="24"/>
        </w:rPr>
        <w:t>提前拍 摄身份证正反面、银行卡正面及本人签字照片</w:t>
      </w:r>
      <w:r>
        <w:rPr>
          <w:rFonts w:ascii="宋体" w:hAnsi="宋体" w:eastAsia="宋体" w:cs="宋体"/>
          <w:sz w:val="24"/>
          <w:szCs w:val="24"/>
        </w:rPr>
        <w:t xml:space="preserve">，并储存在用于网上开户的电脑中。 </w:t>
      </w:r>
      <w:r>
        <w:rPr>
          <w:rFonts w:hint="eastAsia" w:ascii="宋体" w:hAnsi="宋体" w:eastAsia="宋体" w:cs="宋体"/>
          <w:sz w:val="24"/>
          <w:szCs w:val="24"/>
          <w:lang w:val="en-US" w:eastAsia="zh-CN"/>
        </w:rPr>
        <w:t xml:space="preserve">      </w:t>
      </w:r>
    </w:p>
    <w:p>
      <w:pPr>
        <w:ind w:firstLine="480" w:firstLineChars="200"/>
        <w:rPr>
          <w:rFonts w:ascii="宋体" w:hAnsi="宋体" w:eastAsia="宋体" w:cs="宋体"/>
          <w:color w:val="FF0000"/>
          <w:sz w:val="24"/>
          <w:szCs w:val="24"/>
        </w:rPr>
      </w:pPr>
    </w:p>
    <w:p>
      <w:pPr>
        <w:ind w:firstLine="480" w:firstLineChars="200"/>
        <w:rPr>
          <w:rFonts w:hint="eastAsia" w:asciiTheme="majorEastAsia" w:hAnsiTheme="majorEastAsia" w:eastAsiaTheme="majorEastAsia" w:cstheme="majorEastAsia"/>
          <w:b/>
          <w:bCs/>
          <w:i/>
          <w:iCs/>
          <w:color w:val="FF0000"/>
          <w:sz w:val="36"/>
          <w:szCs w:val="36"/>
          <w:u w:val="single"/>
        </w:rPr>
      </w:pPr>
      <w:r>
        <w:rPr>
          <w:rFonts w:ascii="宋体" w:hAnsi="宋体" w:eastAsia="宋体" w:cs="宋体"/>
          <w:color w:val="FF0000"/>
          <w:sz w:val="24"/>
          <w:szCs w:val="24"/>
        </w:rPr>
        <w:t>我司现支持关联</w:t>
      </w:r>
      <w:r>
        <w:rPr>
          <w:rFonts w:hint="eastAsia" w:ascii="宋体" w:hAnsi="宋体" w:eastAsia="宋体" w:cs="宋体"/>
          <w:color w:val="FF0000"/>
          <w:sz w:val="24"/>
          <w:szCs w:val="24"/>
          <w:lang w:eastAsia="zh-CN"/>
        </w:rPr>
        <w:t>六</w:t>
      </w:r>
      <w:r>
        <w:rPr>
          <w:rFonts w:ascii="宋体" w:hAnsi="宋体" w:eastAsia="宋体" w:cs="宋体"/>
          <w:color w:val="FF0000"/>
          <w:sz w:val="24"/>
          <w:szCs w:val="24"/>
        </w:rPr>
        <w:t>家银行的借记卡做为银期结算账户（工行、农行、中行、 建行、交行</w:t>
      </w:r>
      <w:r>
        <w:rPr>
          <w:rFonts w:hint="eastAsia" w:ascii="宋体" w:hAnsi="宋体" w:eastAsia="宋体" w:cs="宋体"/>
          <w:color w:val="FF0000"/>
          <w:sz w:val="24"/>
          <w:szCs w:val="24"/>
          <w:lang w:eastAsia="zh-CN"/>
        </w:rPr>
        <w:t>、中信</w:t>
      </w:r>
      <w:r>
        <w:rPr>
          <w:rFonts w:ascii="宋体" w:hAnsi="宋体" w:eastAsia="宋体" w:cs="宋体"/>
          <w:color w:val="FF0000"/>
          <w:sz w:val="24"/>
          <w:szCs w:val="24"/>
        </w:rPr>
        <w:t>），</w:t>
      </w:r>
      <w:r>
        <w:rPr>
          <w:rFonts w:hint="eastAsia" w:ascii="宋体" w:hAnsi="宋体" w:eastAsia="宋体" w:cs="宋体"/>
          <w:color w:val="FF0000"/>
          <w:sz w:val="24"/>
          <w:szCs w:val="24"/>
          <w:lang w:eastAsia="zh-CN"/>
        </w:rPr>
        <w:t>客户在互联网开户云上修改结算账户完毕后，还需要通过网上银行进行银期签约。</w:t>
      </w:r>
    </w:p>
    <w:p>
      <w:pPr>
        <w:ind w:firstLine="480" w:firstLineChars="200"/>
        <w:rPr>
          <w:rFonts w:ascii="宋体" w:hAnsi="宋体" w:eastAsia="宋体" w:cs="宋体"/>
          <w:sz w:val="24"/>
          <w:szCs w:val="24"/>
        </w:rPr>
      </w:pPr>
      <w:r>
        <w:rPr>
          <w:rFonts w:ascii="宋体" w:hAnsi="宋体" w:eastAsia="宋体" w:cs="宋体"/>
          <w:sz w:val="24"/>
          <w:szCs w:val="24"/>
        </w:rPr>
        <w:t xml:space="preserve"> </w:t>
      </w:r>
    </w:p>
    <w:p>
      <w:pPr>
        <w:jc w:val="center"/>
        <w:rPr>
          <w:rFonts w:hint="eastAsia" w:ascii="宋体" w:hAnsi="宋体" w:eastAsia="宋体" w:cs="宋体"/>
          <w:b/>
          <w:bCs/>
          <w:i/>
          <w:iCs/>
          <w:sz w:val="36"/>
          <w:szCs w:val="36"/>
          <w:u w:val="single"/>
          <w:lang w:eastAsia="zh-CN"/>
        </w:rPr>
      </w:pPr>
      <w:r>
        <w:rPr>
          <w:rFonts w:hint="eastAsia" w:ascii="宋体" w:hAnsi="宋体" w:eastAsia="宋体" w:cs="宋体"/>
          <w:b/>
          <w:bCs/>
          <w:i/>
          <w:iCs/>
          <w:sz w:val="36"/>
          <w:szCs w:val="36"/>
          <w:u w:val="single"/>
          <w:lang w:eastAsia="zh-CN"/>
        </w:rPr>
        <w:t>Step1：登陆期货互联网开户云系统</w:t>
      </w:r>
    </w:p>
    <w:p>
      <w:pPr>
        <w:pStyle w:val="6"/>
        <w:ind w:firstLine="480" w:firstLineChars="200"/>
        <w:rPr>
          <w:sz w:val="24"/>
          <w:szCs w:val="24"/>
        </w:rPr>
      </w:pPr>
      <w:r>
        <w:rPr>
          <w:rFonts w:ascii="宋体" w:hAnsi="宋体" w:eastAsia="宋体" w:cs="宋体"/>
          <w:sz w:val="24"/>
          <w:szCs w:val="24"/>
        </w:rPr>
        <w:t>登陆网上开户网站https://caidaqh.cfmmc.com/</w:t>
      </w:r>
      <w:r>
        <w:rPr>
          <w:rFonts w:hint="eastAsia" w:ascii="宋体" w:hAnsi="宋体" w:cs="宋体"/>
          <w:sz w:val="24"/>
          <w:szCs w:val="24"/>
          <w:lang w:eastAsia="zh-CN"/>
        </w:rPr>
        <w:t>，</w:t>
      </w:r>
      <w:r>
        <w:rPr>
          <w:rFonts w:hint="eastAsia"/>
          <w:sz w:val="24"/>
          <w:szCs w:val="24"/>
        </w:rPr>
        <w:t>登陆以后会出现如</w:t>
      </w:r>
      <w:r>
        <w:rPr>
          <w:rFonts w:hint="eastAsia"/>
          <w:lang w:eastAsia="zh-CN"/>
        </w:rPr>
        <w:t>下图</w:t>
      </w:r>
      <w:r>
        <w:rPr>
          <w:rFonts w:hint="eastAsia"/>
          <w:sz w:val="24"/>
          <w:szCs w:val="24"/>
        </w:rPr>
        <w:t>所示的页面。</w:t>
      </w:r>
    </w:p>
    <w:bookmarkEnd w:id="0"/>
    <w:bookmarkEnd w:id="1"/>
    <w:p>
      <w:pPr>
        <w:pStyle w:val="6"/>
        <w:rPr>
          <w:sz w:val="24"/>
          <w:szCs w:val="24"/>
        </w:rPr>
      </w:pPr>
      <w:r>
        <w:drawing>
          <wp:inline distT="0" distB="0" distL="0" distR="0">
            <wp:extent cx="5274310" cy="156083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5274310" cy="1560927"/>
                    </a:xfrm>
                    <a:prstGeom prst="rect">
                      <a:avLst/>
                    </a:prstGeom>
                  </pic:spPr>
                </pic:pic>
              </a:graphicData>
            </a:graphic>
          </wp:inline>
        </w:drawing>
      </w:r>
    </w:p>
    <w:p>
      <w:pPr>
        <w:pStyle w:val="6"/>
        <w:jc w:val="center"/>
      </w:pPr>
      <w:r>
        <w:rPr>
          <w:rFonts w:hint="eastAsia"/>
        </w:rPr>
        <w:t xml:space="preserve"> 期货互</w:t>
      </w:r>
      <w:bookmarkStart w:id="2" w:name="link3"/>
      <w:bookmarkEnd w:id="2"/>
      <w:r>
        <w:rPr>
          <w:rFonts w:hint="eastAsia"/>
        </w:rPr>
        <w:t>联网开户云登陆界面</w:t>
      </w:r>
    </w:p>
    <w:p>
      <w:pPr>
        <w:pStyle w:val="6"/>
        <w:jc w:val="center"/>
      </w:pPr>
      <w:r>
        <w:drawing>
          <wp:inline distT="0" distB="0" distL="0" distR="0">
            <wp:extent cx="5274310" cy="22828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274310" cy="2283093"/>
                    </a:xfrm>
                    <a:prstGeom prst="rect">
                      <a:avLst/>
                    </a:prstGeom>
                  </pic:spPr>
                </pic:pic>
              </a:graphicData>
            </a:graphic>
          </wp:inline>
        </w:drawing>
      </w:r>
    </w:p>
    <w:p>
      <w:pPr>
        <w:pStyle w:val="6"/>
        <w:jc w:val="center"/>
      </w:pPr>
      <w:r>
        <w:rPr>
          <w:rFonts w:hint="eastAsia"/>
        </w:rPr>
        <w:t>期货互联网开户云登陆界面</w:t>
      </w:r>
    </w:p>
    <w:p>
      <w:pPr>
        <w:pStyle w:val="6"/>
        <w:jc w:val="center"/>
      </w:pPr>
      <w:r>
        <w:drawing>
          <wp:inline distT="0" distB="0" distL="0" distR="0">
            <wp:extent cx="5274310" cy="3396615"/>
            <wp:effectExtent l="0" t="0" r="254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3397168"/>
                    </a:xfrm>
                    <a:prstGeom prst="rect">
                      <a:avLst/>
                    </a:prstGeom>
                  </pic:spPr>
                </pic:pic>
              </a:graphicData>
            </a:graphic>
          </wp:inline>
        </w:drawing>
      </w:r>
    </w:p>
    <w:p>
      <w:pPr>
        <w:pStyle w:val="6"/>
        <w:jc w:val="center"/>
      </w:pPr>
      <w:r>
        <w:rPr>
          <w:rFonts w:hint="eastAsia"/>
        </w:rPr>
        <w:t>期货互联网开户云登陆界面</w:t>
      </w:r>
    </w:p>
    <w:p>
      <w:pPr>
        <w:pStyle w:val="2"/>
        <w:numPr>
          <w:ilvl w:val="0"/>
          <w:numId w:val="0"/>
        </w:numPr>
        <w:tabs>
          <w:tab w:val="clear" w:pos="537"/>
        </w:tabs>
        <w:ind w:left="425" w:leftChars="0"/>
        <w:jc w:val="center"/>
        <w:rPr>
          <w:rFonts w:hint="eastAsia" w:ascii="宋体" w:hAnsi="宋体" w:eastAsia="宋体" w:cs="宋体"/>
          <w:i/>
          <w:iCs/>
          <w:u w:val="single"/>
          <w:lang w:eastAsia="zh-CN"/>
        </w:rPr>
      </w:pPr>
      <w:bookmarkStart w:id="3" w:name="_Toc27085"/>
      <w:bookmarkStart w:id="4" w:name="_Toc18932267"/>
      <w:r>
        <w:rPr>
          <w:rFonts w:hint="eastAsia" w:ascii="宋体" w:hAnsi="宋体" w:eastAsia="宋体" w:cs="宋体"/>
          <w:i/>
          <w:iCs/>
          <w:u w:val="single"/>
          <w:lang w:val="en-US" w:eastAsia="zh-CN"/>
        </w:rPr>
        <w:t>Step2.</w:t>
      </w:r>
      <w:r>
        <w:rPr>
          <w:rFonts w:hint="eastAsia" w:ascii="宋体" w:hAnsi="宋体" w:eastAsia="宋体" w:cs="宋体"/>
          <w:i/>
          <w:iCs/>
          <w:u w:val="single"/>
          <w:lang w:eastAsia="zh-CN"/>
        </w:rPr>
        <w:t>上传照片</w:t>
      </w:r>
      <w:bookmarkEnd w:id="3"/>
      <w:bookmarkEnd w:id="4"/>
    </w:p>
    <w:p>
      <w:pPr>
        <w:pStyle w:val="6"/>
        <w:ind w:firstLine="480" w:firstLineChars="200"/>
        <w:rPr>
          <w:sz w:val="24"/>
          <w:szCs w:val="24"/>
        </w:rPr>
      </w:pPr>
      <w:r>
        <w:rPr>
          <w:rFonts w:hint="eastAsia"/>
          <w:sz w:val="24"/>
          <w:szCs w:val="24"/>
        </w:rPr>
        <w:t>进入到上传照片页面，若用户在开户云系统中留有身份证图片信息则可以直接显示，否则用户需要根据按钮提示上传身份证正面、反面和签名照等图片，</w:t>
      </w:r>
    </w:p>
    <w:p>
      <w:pPr>
        <w:pStyle w:val="6"/>
        <w:ind w:firstLine="480" w:firstLineChars="200"/>
        <w:rPr>
          <w:sz w:val="24"/>
          <w:szCs w:val="24"/>
        </w:rPr>
      </w:pPr>
      <w:r>
        <w:rPr>
          <w:rFonts w:hint="eastAsia"/>
          <w:sz w:val="24"/>
          <w:szCs w:val="24"/>
        </w:rPr>
        <w:t>说明：上传的照片必须是近距离拍摄、画面清楚的，否则会影响到后面获取客户资料的流程。详细的注意事项请阅读页面上方的温馨提示。上传照片页面如</w:t>
      </w:r>
      <w:r>
        <w:rPr>
          <w:rFonts w:hint="eastAsia"/>
          <w:sz w:val="24"/>
          <w:szCs w:val="24"/>
          <w:lang w:eastAsia="zh-CN"/>
        </w:rPr>
        <w:t>下图</w:t>
      </w:r>
      <w:r>
        <w:rPr>
          <w:rFonts w:hint="eastAsia"/>
          <w:sz w:val="24"/>
          <w:szCs w:val="24"/>
        </w:rPr>
        <w:t>所示：</w:t>
      </w:r>
    </w:p>
    <w:p>
      <w:pPr>
        <w:pStyle w:val="6"/>
        <w:ind w:firstLine="480" w:firstLineChars="200"/>
        <w:jc w:val="center"/>
        <w:rPr>
          <w:sz w:val="24"/>
          <w:szCs w:val="24"/>
        </w:rPr>
      </w:pPr>
      <w:r>
        <w:rPr>
          <w:snapToGrid/>
          <w:sz w:val="24"/>
          <w:szCs w:val="24"/>
        </w:rPr>
        <w:drawing>
          <wp:inline distT="0" distB="0" distL="0" distR="0">
            <wp:extent cx="5257800" cy="2905125"/>
            <wp:effectExtent l="0" t="0" r="0" b="9525"/>
            <wp:docPr id="2" name="图片 2" descr="C:\Users\HSPCAD~1\AppData\Local\Temp\1568009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SPCAD~1\AppData\Local\Temp\156800942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57800" cy="2905125"/>
                    </a:xfrm>
                    <a:prstGeom prst="rect">
                      <a:avLst/>
                    </a:prstGeom>
                    <a:noFill/>
                    <a:ln>
                      <a:noFill/>
                    </a:ln>
                  </pic:spPr>
                </pic:pic>
              </a:graphicData>
            </a:graphic>
          </wp:inline>
        </w:drawing>
      </w:r>
    </w:p>
    <w:p>
      <w:pPr>
        <w:pStyle w:val="6"/>
        <w:jc w:val="center"/>
      </w:pPr>
      <w:r>
        <w:rPr>
          <w:rFonts w:hint="eastAsia"/>
        </w:rPr>
        <w:t>上</w:t>
      </w:r>
      <w:bookmarkStart w:id="5" w:name="link6"/>
      <w:bookmarkEnd w:id="5"/>
      <w:r>
        <w:rPr>
          <w:rFonts w:hint="eastAsia"/>
        </w:rPr>
        <w:t>传照片</w:t>
      </w:r>
    </w:p>
    <w:p>
      <w:pPr>
        <w:pStyle w:val="6"/>
        <w:jc w:val="center"/>
        <w:rPr>
          <w:highlight w:val="green"/>
        </w:rPr>
      </w:pPr>
    </w:p>
    <w:p>
      <w:pPr>
        <w:pStyle w:val="6"/>
        <w:ind w:firstLine="480" w:firstLineChars="200"/>
        <w:rPr>
          <w:sz w:val="24"/>
          <w:szCs w:val="24"/>
        </w:rPr>
      </w:pPr>
      <w:r>
        <w:rPr>
          <w:rFonts w:hint="eastAsia"/>
          <w:sz w:val="24"/>
          <w:szCs w:val="24"/>
        </w:rPr>
        <w:t>所有照片都上传成功以后，请阅读“数字证书安全责任书”，阅读完成并同意后点击“下一步”进入到“个人基本资料”页面。</w:t>
      </w:r>
    </w:p>
    <w:p>
      <w:pPr>
        <w:pStyle w:val="2"/>
        <w:numPr>
          <w:ilvl w:val="0"/>
          <w:numId w:val="0"/>
        </w:numPr>
        <w:tabs>
          <w:tab w:val="clear" w:pos="537"/>
        </w:tabs>
        <w:jc w:val="center"/>
        <w:rPr>
          <w:rFonts w:hint="eastAsia" w:ascii="宋体" w:hAnsi="宋体" w:eastAsia="宋体" w:cs="宋体"/>
          <w:i/>
          <w:iCs/>
          <w:u w:val="single"/>
          <w:lang w:eastAsia="zh-CN"/>
        </w:rPr>
      </w:pPr>
      <w:bookmarkStart w:id="6" w:name="_Toc18932268"/>
      <w:r>
        <w:rPr>
          <w:rFonts w:hint="eastAsia" w:ascii="宋体" w:hAnsi="宋体" w:eastAsia="宋体" w:cs="宋体"/>
          <w:i/>
          <w:iCs/>
          <w:u w:val="single"/>
          <w:lang w:val="en-US" w:eastAsia="zh-CN"/>
        </w:rPr>
        <w:t>Step3.</w:t>
      </w:r>
      <w:r>
        <w:rPr>
          <w:rFonts w:hint="eastAsia" w:ascii="宋体" w:hAnsi="宋体" w:eastAsia="宋体" w:cs="宋体"/>
          <w:i/>
          <w:iCs/>
          <w:u w:val="single"/>
          <w:lang w:eastAsia="zh-CN"/>
        </w:rPr>
        <w:t>银行卡照片上传</w:t>
      </w:r>
      <w:bookmarkEnd w:id="6"/>
    </w:p>
    <w:p>
      <w:pPr>
        <w:pStyle w:val="6"/>
        <w:ind w:firstLine="480" w:firstLineChars="200"/>
        <w:rPr>
          <w:sz w:val="24"/>
          <w:szCs w:val="24"/>
        </w:rPr>
      </w:pPr>
      <w:r>
        <w:rPr>
          <w:rFonts w:hint="eastAsia"/>
          <w:sz w:val="24"/>
          <w:szCs w:val="24"/>
        </w:rPr>
        <w:t>进入到“银行卡照片上传”页面，会看到所有信息是已经默认填写的，这些都是客户在系统预留的信息如</w:t>
      </w:r>
      <w:r>
        <w:rPr>
          <w:rFonts w:hint="eastAsia"/>
          <w:sz w:val="24"/>
          <w:szCs w:val="24"/>
          <w:lang w:eastAsia="zh-CN"/>
        </w:rPr>
        <w:t>下图</w:t>
      </w:r>
      <w:r>
        <w:rPr>
          <w:rFonts w:hint="eastAsia"/>
          <w:sz w:val="24"/>
          <w:szCs w:val="24"/>
        </w:rPr>
        <w:t>客户可根据需要删除预留的银行卡信息，也可以新增新的银行卡</w:t>
      </w:r>
      <w:r>
        <w:rPr>
          <w:rFonts w:hint="eastAsia"/>
          <w:sz w:val="24"/>
          <w:szCs w:val="24"/>
          <w:lang w:eastAsia="zh-CN"/>
        </w:rPr>
        <w:t>如下图</w:t>
      </w:r>
      <w:r>
        <w:rPr>
          <w:rFonts w:hint="eastAsia"/>
          <w:sz w:val="24"/>
          <w:szCs w:val="24"/>
        </w:rPr>
        <w:t>。</w:t>
      </w:r>
    </w:p>
    <w:p>
      <w:pPr>
        <w:pStyle w:val="6"/>
        <w:jc w:val="center"/>
      </w:pPr>
      <w:r>
        <w:drawing>
          <wp:inline distT="0" distB="0" distL="0" distR="0">
            <wp:extent cx="5274310" cy="32194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3219646"/>
                    </a:xfrm>
                    <a:prstGeom prst="rect">
                      <a:avLst/>
                    </a:prstGeom>
                  </pic:spPr>
                </pic:pic>
              </a:graphicData>
            </a:graphic>
          </wp:inline>
        </w:drawing>
      </w:r>
      <w:r>
        <w:rPr>
          <w:rFonts w:hint="eastAsia"/>
        </w:rPr>
        <w:t xml:space="preserve"> 银行卡照片</w:t>
      </w:r>
    </w:p>
    <w:p>
      <w:pPr>
        <w:pStyle w:val="6"/>
        <w:rPr>
          <w:snapToGrid/>
          <w:sz w:val="24"/>
          <w:szCs w:val="24"/>
        </w:rPr>
      </w:pPr>
    </w:p>
    <w:p>
      <w:pPr>
        <w:pStyle w:val="6"/>
        <w:jc w:val="both"/>
      </w:pPr>
      <w:r>
        <w:drawing>
          <wp:inline distT="0" distB="0" distL="0" distR="0">
            <wp:extent cx="5274310" cy="1896745"/>
            <wp:effectExtent l="0" t="0" r="254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a:stretch>
                      <a:fillRect/>
                    </a:stretch>
                  </pic:blipFill>
                  <pic:spPr>
                    <a:xfrm>
                      <a:off x="0" y="0"/>
                      <a:ext cx="5274310" cy="1897287"/>
                    </a:xfrm>
                    <a:prstGeom prst="rect">
                      <a:avLst/>
                    </a:prstGeom>
                  </pic:spPr>
                </pic:pic>
              </a:graphicData>
            </a:graphic>
          </wp:inline>
        </w:drawing>
      </w:r>
    </w:p>
    <w:p>
      <w:pPr>
        <w:pStyle w:val="6"/>
        <w:jc w:val="center"/>
        <w:rPr>
          <w:snapToGrid/>
          <w:sz w:val="24"/>
          <w:szCs w:val="24"/>
        </w:rPr>
      </w:pPr>
      <w:r>
        <w:rPr>
          <w:rFonts w:hint="eastAsia"/>
          <w:snapToGrid/>
          <w:sz w:val="24"/>
          <w:szCs w:val="24"/>
        </w:rPr>
        <w:t>新增银行卡</w:t>
      </w:r>
    </w:p>
    <w:p>
      <w:pPr>
        <w:pStyle w:val="6"/>
        <w:ind w:firstLine="420" w:firstLineChars="200"/>
        <w:jc w:val="center"/>
      </w:pPr>
    </w:p>
    <w:p>
      <w:pPr>
        <w:pStyle w:val="6"/>
        <w:ind w:firstLine="480" w:firstLineChars="200"/>
        <w:jc w:val="both"/>
        <w:rPr>
          <w:sz w:val="24"/>
          <w:szCs w:val="24"/>
        </w:rPr>
      </w:pPr>
      <w:r>
        <w:rPr>
          <w:rFonts w:hint="eastAsia"/>
          <w:sz w:val="24"/>
          <w:szCs w:val="24"/>
        </w:rPr>
        <w:t>若用户点击“下一步”则提示相关使用信息，点击确定进入下一流程</w:t>
      </w:r>
    </w:p>
    <w:p>
      <w:pPr>
        <w:pStyle w:val="6"/>
        <w:jc w:val="both"/>
      </w:pPr>
      <w:r>
        <w:drawing>
          <wp:inline distT="0" distB="0" distL="114300" distR="114300">
            <wp:extent cx="5270500" cy="3168015"/>
            <wp:effectExtent l="0" t="0" r="635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70500" cy="3168015"/>
                    </a:xfrm>
                    <a:prstGeom prst="rect">
                      <a:avLst/>
                    </a:prstGeom>
                    <a:noFill/>
                    <a:ln w="9525">
                      <a:noFill/>
                    </a:ln>
                  </pic:spPr>
                </pic:pic>
              </a:graphicData>
            </a:graphic>
          </wp:inline>
        </w:drawing>
      </w:r>
    </w:p>
    <w:p>
      <w:pPr>
        <w:pStyle w:val="6"/>
        <w:ind w:left="2880" w:firstLine="480" w:firstLineChars="200"/>
        <w:jc w:val="both"/>
      </w:pPr>
      <w:r>
        <w:rPr>
          <w:rFonts w:hint="eastAsia"/>
          <w:snapToGrid/>
          <w:sz w:val="24"/>
          <w:szCs w:val="24"/>
        </w:rPr>
        <w:t>使用提示</w:t>
      </w:r>
    </w:p>
    <w:p>
      <w:pPr>
        <w:pStyle w:val="2"/>
        <w:numPr>
          <w:ilvl w:val="0"/>
          <w:numId w:val="0"/>
        </w:numPr>
        <w:tabs>
          <w:tab w:val="clear" w:pos="537"/>
        </w:tabs>
        <w:ind w:left="425" w:leftChars="0"/>
        <w:jc w:val="center"/>
        <w:rPr>
          <w:lang w:eastAsia="zh-CN"/>
        </w:rPr>
      </w:pPr>
      <w:bookmarkStart w:id="7" w:name="_Toc18932269"/>
      <w:r>
        <w:rPr>
          <w:rFonts w:hint="eastAsia" w:ascii="宋体" w:hAnsi="宋体" w:eastAsia="宋体" w:cs="宋体"/>
          <w:i/>
          <w:iCs/>
          <w:u w:val="single"/>
          <w:lang w:val="en-US" w:eastAsia="zh-CN"/>
        </w:rPr>
        <w:t>Step4.证书检测</w:t>
      </w:r>
      <w:bookmarkEnd w:id="7"/>
    </w:p>
    <w:p>
      <w:pPr>
        <w:pStyle w:val="6"/>
        <w:ind w:firstLine="480" w:firstLineChars="200"/>
        <w:rPr>
          <w:sz w:val="24"/>
          <w:szCs w:val="24"/>
        </w:rPr>
      </w:pPr>
      <w:r>
        <w:rPr>
          <w:rFonts w:hint="eastAsia"/>
          <w:sz w:val="24"/>
          <w:szCs w:val="24"/>
        </w:rPr>
        <w:t>进入证书检测界面</w:t>
      </w:r>
      <w:r>
        <w:rPr>
          <w:sz w:val="24"/>
          <w:szCs w:val="24"/>
        </w:rPr>
        <w:t>，</w:t>
      </w:r>
      <w:r>
        <w:rPr>
          <w:rFonts w:hint="eastAsia"/>
          <w:sz w:val="24"/>
          <w:szCs w:val="24"/>
        </w:rPr>
        <w:t>开户云系统获会进行检测如果没有检测到证书则会弹框提示如</w:t>
      </w:r>
      <w:r>
        <w:rPr>
          <w:rFonts w:hint="eastAsia"/>
          <w:sz w:val="24"/>
          <w:szCs w:val="24"/>
          <w:lang w:eastAsia="zh-CN"/>
        </w:rPr>
        <w:t>下</w:t>
      </w:r>
      <w:r>
        <w:rPr>
          <w:rFonts w:hint="eastAsia"/>
          <w:sz w:val="24"/>
          <w:szCs w:val="24"/>
        </w:rPr>
        <w:t>图，点击确定则可跳转到视频见证界面进行视频验证，如果检测到证书则阅读已有协议，勾选“我已阅读并同意”点击“签署协议”完成业务，进入复核阶段</w:t>
      </w:r>
      <w:r>
        <w:rPr>
          <w:rFonts w:hint="eastAsia"/>
          <w:sz w:val="24"/>
          <w:szCs w:val="24"/>
          <w:lang w:eastAsia="zh-CN"/>
        </w:rPr>
        <w:t>，如下图</w:t>
      </w:r>
      <w:r>
        <w:rPr>
          <w:rFonts w:hint="eastAsia"/>
          <w:sz w:val="24"/>
          <w:szCs w:val="24"/>
        </w:rPr>
        <w:t>。</w:t>
      </w:r>
    </w:p>
    <w:p>
      <w:pPr>
        <w:pStyle w:val="6"/>
        <w:ind w:firstLine="480" w:firstLineChars="200"/>
        <w:rPr>
          <w:sz w:val="24"/>
          <w:szCs w:val="24"/>
        </w:rPr>
      </w:pPr>
    </w:p>
    <w:p>
      <w:pPr>
        <w:pStyle w:val="6"/>
        <w:ind w:firstLine="420" w:firstLineChars="200"/>
        <w:rPr>
          <w:sz w:val="24"/>
          <w:szCs w:val="24"/>
        </w:rPr>
      </w:pPr>
      <w:r>
        <w:drawing>
          <wp:inline distT="0" distB="0" distL="0" distR="0">
            <wp:extent cx="4085590" cy="1923415"/>
            <wp:effectExtent l="0" t="0" r="1016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a:stretch>
                      <a:fillRect/>
                    </a:stretch>
                  </pic:blipFill>
                  <pic:spPr>
                    <a:xfrm>
                      <a:off x="0" y="0"/>
                      <a:ext cx="4085715" cy="1923810"/>
                    </a:xfrm>
                    <a:prstGeom prst="rect">
                      <a:avLst/>
                    </a:prstGeom>
                  </pic:spPr>
                </pic:pic>
              </a:graphicData>
            </a:graphic>
          </wp:inline>
        </w:drawing>
      </w:r>
    </w:p>
    <w:p>
      <w:pPr>
        <w:pStyle w:val="6"/>
        <w:ind w:firstLine="480" w:firstLineChars="200"/>
        <w:rPr>
          <w:sz w:val="24"/>
          <w:szCs w:val="24"/>
        </w:rPr>
      </w:pPr>
    </w:p>
    <w:p>
      <w:pPr>
        <w:pStyle w:val="6"/>
        <w:ind w:left="2460" w:firstLine="720" w:firstLineChars="300"/>
        <w:rPr>
          <w:sz w:val="24"/>
          <w:szCs w:val="24"/>
        </w:rPr>
      </w:pPr>
      <w:r>
        <w:rPr>
          <w:rFonts w:hint="eastAsia"/>
          <w:sz w:val="24"/>
          <w:szCs w:val="24"/>
        </w:rPr>
        <w:t>证书检测</w:t>
      </w:r>
    </w:p>
    <w:p>
      <w:pPr>
        <w:pStyle w:val="6"/>
        <w:rPr>
          <w:sz w:val="24"/>
          <w:szCs w:val="24"/>
        </w:rPr>
      </w:pPr>
      <w:r>
        <w:drawing>
          <wp:inline distT="0" distB="0" distL="0" distR="0">
            <wp:extent cx="5274310" cy="1951990"/>
            <wp:effectExtent l="0" t="0" r="2540" b="101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5274310" cy="1951990"/>
                    </a:xfrm>
                    <a:prstGeom prst="rect">
                      <a:avLst/>
                    </a:prstGeom>
                  </pic:spPr>
                </pic:pic>
              </a:graphicData>
            </a:graphic>
          </wp:inline>
        </w:drawing>
      </w:r>
    </w:p>
    <w:p>
      <w:pPr>
        <w:pStyle w:val="6"/>
        <w:rPr>
          <w:sz w:val="24"/>
          <w:szCs w:val="24"/>
        </w:rPr>
      </w:pPr>
      <w:r>
        <w:drawing>
          <wp:inline distT="0" distB="0" distL="0" distR="0">
            <wp:extent cx="5274310" cy="1108075"/>
            <wp:effectExtent l="0" t="0" r="2540" b="158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
                    <a:stretch>
                      <a:fillRect/>
                    </a:stretch>
                  </pic:blipFill>
                  <pic:spPr>
                    <a:xfrm>
                      <a:off x="0" y="0"/>
                      <a:ext cx="5274310" cy="1108075"/>
                    </a:xfrm>
                    <a:prstGeom prst="rect">
                      <a:avLst/>
                    </a:prstGeom>
                  </pic:spPr>
                </pic:pic>
              </a:graphicData>
            </a:graphic>
          </wp:inline>
        </w:drawing>
      </w:r>
    </w:p>
    <w:p>
      <w:pPr>
        <w:pStyle w:val="6"/>
        <w:rPr>
          <w:sz w:val="24"/>
          <w:szCs w:val="24"/>
        </w:rPr>
      </w:pPr>
    </w:p>
    <w:p>
      <w:pPr>
        <w:pStyle w:val="6"/>
        <w:ind w:left="2460" w:firstLine="720" w:firstLineChars="300"/>
        <w:rPr>
          <w:sz w:val="24"/>
          <w:szCs w:val="24"/>
        </w:rPr>
      </w:pPr>
      <w:r>
        <w:rPr>
          <w:rFonts w:hint="eastAsia"/>
          <w:sz w:val="24"/>
          <w:szCs w:val="24"/>
        </w:rPr>
        <w:t>协议签署</w:t>
      </w:r>
    </w:p>
    <w:p>
      <w:pPr>
        <w:pStyle w:val="6"/>
        <w:ind w:firstLine="480" w:firstLineChars="200"/>
        <w:rPr>
          <w:sz w:val="24"/>
          <w:szCs w:val="24"/>
        </w:rPr>
      </w:pPr>
    </w:p>
    <w:p>
      <w:pPr>
        <w:pStyle w:val="6"/>
        <w:ind w:firstLine="480" w:firstLineChars="200"/>
        <w:jc w:val="center"/>
        <w:rPr>
          <w:sz w:val="24"/>
          <w:szCs w:val="24"/>
        </w:rPr>
      </w:pPr>
    </w:p>
    <w:p>
      <w:pPr>
        <w:pStyle w:val="2"/>
        <w:numPr>
          <w:ilvl w:val="0"/>
          <w:numId w:val="0"/>
        </w:numPr>
        <w:tabs>
          <w:tab w:val="clear" w:pos="537"/>
        </w:tabs>
        <w:ind w:left="425" w:leftChars="0"/>
        <w:jc w:val="center"/>
        <w:rPr>
          <w:lang w:eastAsia="zh-CN"/>
        </w:rPr>
      </w:pPr>
      <w:bookmarkStart w:id="8" w:name="_Toc18932270"/>
      <w:bookmarkStart w:id="9" w:name="_Toc10090"/>
      <w:r>
        <w:rPr>
          <w:rFonts w:hint="eastAsia" w:ascii="宋体" w:hAnsi="宋体" w:eastAsia="宋体" w:cs="宋体"/>
          <w:i/>
          <w:iCs/>
          <w:u w:val="single"/>
          <w:lang w:val="en-US" w:eastAsia="zh-CN"/>
        </w:rPr>
        <w:t>Step5.视频验证</w:t>
      </w:r>
      <w:bookmarkEnd w:id="8"/>
      <w:bookmarkEnd w:id="9"/>
    </w:p>
    <w:p>
      <w:pPr>
        <w:pStyle w:val="6"/>
        <w:ind w:firstLine="480" w:firstLineChars="200"/>
        <w:rPr>
          <w:sz w:val="24"/>
          <w:szCs w:val="24"/>
        </w:rPr>
      </w:pPr>
      <w:r>
        <w:rPr>
          <w:rFonts w:hint="eastAsia"/>
          <w:sz w:val="24"/>
          <w:szCs w:val="24"/>
        </w:rPr>
        <w:t>视频验证页面是开户人员手持本人身份证与期货公司的认证人进行视频实名认证。视频认证界面如</w:t>
      </w:r>
      <w:r>
        <w:rPr>
          <w:rFonts w:hint="eastAsia"/>
          <w:sz w:val="24"/>
          <w:szCs w:val="24"/>
          <w:lang w:eastAsia="zh-CN"/>
        </w:rPr>
        <w:t>下图</w:t>
      </w:r>
      <w:r>
        <w:rPr>
          <w:rFonts w:hint="eastAsia"/>
          <w:sz w:val="24"/>
          <w:szCs w:val="24"/>
        </w:rPr>
        <w:t>所示。</w:t>
      </w:r>
    </w:p>
    <w:p>
      <w:pPr>
        <w:pStyle w:val="6"/>
        <w:jc w:val="both"/>
        <w:rPr>
          <w:sz w:val="24"/>
          <w:szCs w:val="24"/>
        </w:rPr>
      </w:pPr>
      <w:r>
        <w:drawing>
          <wp:inline distT="0" distB="0" distL="114300" distR="114300">
            <wp:extent cx="5269230" cy="2691130"/>
            <wp:effectExtent l="0" t="0" r="7620"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5269230" cy="2691130"/>
                    </a:xfrm>
                    <a:prstGeom prst="rect">
                      <a:avLst/>
                    </a:prstGeom>
                    <a:noFill/>
                    <a:ln w="9525">
                      <a:noFill/>
                    </a:ln>
                  </pic:spPr>
                </pic:pic>
              </a:graphicData>
            </a:graphic>
          </wp:inline>
        </w:drawing>
      </w:r>
    </w:p>
    <w:p>
      <w:pPr>
        <w:pStyle w:val="6"/>
        <w:ind w:firstLine="420" w:firstLineChars="200"/>
        <w:jc w:val="center"/>
      </w:pPr>
      <w:bookmarkStart w:id="10" w:name="link24"/>
      <w:bookmarkEnd w:id="10"/>
      <w:r>
        <w:rPr>
          <w:rFonts w:hint="eastAsia"/>
        </w:rPr>
        <w:t>视频认证</w:t>
      </w:r>
    </w:p>
    <w:p>
      <w:pPr>
        <w:pStyle w:val="6"/>
        <w:ind w:firstLine="480" w:firstLineChars="200"/>
        <w:rPr>
          <w:sz w:val="24"/>
          <w:szCs w:val="24"/>
        </w:rPr>
      </w:pPr>
      <w:r>
        <w:rPr>
          <w:rFonts w:hint="eastAsia"/>
          <w:sz w:val="24"/>
          <w:szCs w:val="24"/>
        </w:rPr>
        <w:t>客户点击“开始视频通话”，会出现一个排队页面，此页面显示的人数是当前营业部所有用户的数量，包括本人。视频排队界面如</w:t>
      </w:r>
      <w:r>
        <w:fldChar w:fldCharType="begin"/>
      </w:r>
      <w:r>
        <w:instrText xml:space="preserve"> HYPERLINK \l "link25" </w:instrText>
      </w:r>
      <w:r>
        <w:fldChar w:fldCharType="separate"/>
      </w:r>
      <w:r>
        <w:rPr>
          <w:rFonts w:hint="eastAsia"/>
          <w:lang w:eastAsia="zh-CN"/>
        </w:rPr>
        <w:t>下</w:t>
      </w:r>
      <w:r>
        <w:rPr>
          <w:rFonts w:hint="eastAsia"/>
        </w:rPr>
        <w:fldChar w:fldCharType="end"/>
      </w:r>
      <w:r>
        <w:rPr>
          <w:rFonts w:hint="eastAsia"/>
          <w:lang w:eastAsia="zh-CN"/>
        </w:rPr>
        <w:t>图</w:t>
      </w:r>
      <w:r>
        <w:rPr>
          <w:rFonts w:hint="eastAsia"/>
          <w:sz w:val="24"/>
          <w:szCs w:val="24"/>
        </w:rPr>
        <w:t>所示。</w:t>
      </w:r>
    </w:p>
    <w:p>
      <w:pPr>
        <w:pStyle w:val="6"/>
        <w:jc w:val="both"/>
        <w:rPr>
          <w:sz w:val="24"/>
          <w:szCs w:val="24"/>
        </w:rPr>
      </w:pPr>
      <w:r>
        <w:drawing>
          <wp:inline distT="0" distB="0" distL="114300" distR="114300">
            <wp:extent cx="5270500" cy="2366645"/>
            <wp:effectExtent l="0" t="0" r="6350"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270500" cy="2366645"/>
                    </a:xfrm>
                    <a:prstGeom prst="rect">
                      <a:avLst/>
                    </a:prstGeom>
                    <a:noFill/>
                    <a:ln w="9525">
                      <a:noFill/>
                    </a:ln>
                  </pic:spPr>
                </pic:pic>
              </a:graphicData>
            </a:graphic>
          </wp:inline>
        </w:drawing>
      </w:r>
    </w:p>
    <w:p>
      <w:pPr>
        <w:pStyle w:val="6"/>
        <w:ind w:firstLine="3780" w:firstLineChars="1800"/>
        <w:jc w:val="both"/>
      </w:pPr>
      <w:r>
        <w:rPr>
          <w:rFonts w:hint="eastAsia"/>
        </w:rPr>
        <w:t xml:space="preserve"> 视频</w:t>
      </w:r>
      <w:bookmarkStart w:id="11" w:name="link25"/>
      <w:bookmarkEnd w:id="11"/>
      <w:r>
        <w:rPr>
          <w:rFonts w:hint="eastAsia"/>
        </w:rPr>
        <w:t>排队</w:t>
      </w:r>
    </w:p>
    <w:p>
      <w:pPr>
        <w:pStyle w:val="6"/>
        <w:ind w:firstLine="420" w:firstLineChars="200"/>
        <w:jc w:val="center"/>
      </w:pPr>
    </w:p>
    <w:p>
      <w:pPr>
        <w:pStyle w:val="6"/>
        <w:ind w:firstLine="480" w:firstLineChars="200"/>
        <w:rPr>
          <w:sz w:val="24"/>
          <w:szCs w:val="24"/>
        </w:rPr>
      </w:pPr>
      <w:r>
        <w:rPr>
          <w:rFonts w:hint="eastAsia"/>
          <w:sz w:val="24"/>
          <w:szCs w:val="24"/>
        </w:rPr>
        <w:t>期货公司认证人员接通视频后，与客户核对所填的基本信息，并采集客户的视频和照片，同时也会询问客户是否知晓相关的开户知识。视频认证界面如</w:t>
      </w:r>
      <w:r>
        <w:rPr>
          <w:rFonts w:hint="eastAsia"/>
          <w:lang w:eastAsia="zh-CN"/>
        </w:rPr>
        <w:t>下图</w:t>
      </w:r>
      <w:r>
        <w:rPr>
          <w:rFonts w:hint="eastAsia"/>
          <w:sz w:val="24"/>
          <w:szCs w:val="24"/>
        </w:rPr>
        <w:t>所示。</w:t>
      </w:r>
    </w:p>
    <w:p>
      <w:pPr>
        <w:pStyle w:val="6"/>
        <w:jc w:val="both"/>
        <w:rPr>
          <w:sz w:val="24"/>
          <w:szCs w:val="24"/>
        </w:rPr>
      </w:pPr>
      <w:bookmarkStart w:id="13" w:name="_GoBack"/>
      <w:bookmarkEnd w:id="13"/>
      <w:r>
        <w:drawing>
          <wp:inline distT="0" distB="0" distL="114300" distR="114300">
            <wp:extent cx="5264150" cy="2366645"/>
            <wp:effectExtent l="0" t="0" r="1270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stretch>
                      <a:fillRect/>
                    </a:stretch>
                  </pic:blipFill>
                  <pic:spPr>
                    <a:xfrm>
                      <a:off x="0" y="0"/>
                      <a:ext cx="5264150" cy="2366645"/>
                    </a:xfrm>
                    <a:prstGeom prst="rect">
                      <a:avLst/>
                    </a:prstGeom>
                    <a:noFill/>
                    <a:ln w="9525">
                      <a:noFill/>
                    </a:ln>
                  </pic:spPr>
                </pic:pic>
              </a:graphicData>
            </a:graphic>
          </wp:inline>
        </w:drawing>
      </w:r>
    </w:p>
    <w:p>
      <w:pPr>
        <w:pStyle w:val="6"/>
        <w:ind w:firstLine="420" w:firstLineChars="200"/>
        <w:jc w:val="center"/>
      </w:pPr>
      <w:r>
        <w:rPr>
          <w:rFonts w:hint="eastAsia"/>
        </w:rPr>
        <w:t>视频</w:t>
      </w:r>
      <w:bookmarkStart w:id="12" w:name="link26"/>
      <w:bookmarkEnd w:id="12"/>
      <w:r>
        <w:rPr>
          <w:rFonts w:hint="eastAsia"/>
        </w:rPr>
        <w:t>认证</w:t>
      </w:r>
    </w:p>
    <w:p>
      <w:pPr>
        <w:pStyle w:val="6"/>
        <w:ind w:firstLine="420" w:firstLineChars="200"/>
        <w:jc w:val="center"/>
      </w:pPr>
    </w:p>
    <w:p>
      <w:pPr>
        <w:pStyle w:val="6"/>
        <w:ind w:firstLine="480" w:firstLineChars="200"/>
        <w:rPr>
          <w:sz w:val="24"/>
          <w:szCs w:val="24"/>
        </w:rPr>
      </w:pPr>
      <w:r>
        <w:rPr>
          <w:rFonts w:hint="eastAsia"/>
          <w:sz w:val="24"/>
          <w:szCs w:val="24"/>
        </w:rPr>
        <w:t>在视频过程中，如果发现填写的信息有误，认证人员会按照相关驳回条件打回到填写错误的界面，客户刷新前端重新完善信息后再发视频认证。视频审核通过以后，客户点击“下一步”进入到安装数字证书。</w:t>
      </w:r>
    </w:p>
    <w:p>
      <w:pPr>
        <w:pStyle w:val="6"/>
        <w:ind w:firstLine="480" w:firstLineChars="200"/>
        <w:rPr>
          <w:sz w:val="24"/>
          <w:szCs w:val="24"/>
        </w:rPr>
      </w:pPr>
      <w:r>
        <w:rPr>
          <w:rFonts w:hint="eastAsia"/>
          <w:sz w:val="24"/>
          <w:szCs w:val="24"/>
          <w:lang w:eastAsia="zh-CN"/>
        </w:rPr>
        <w:t>视频</w:t>
      </w:r>
      <w:r>
        <w:rPr>
          <w:rFonts w:hint="eastAsia"/>
          <w:sz w:val="24"/>
          <w:szCs w:val="24"/>
        </w:rPr>
        <w:t>通过后，用户的修改结算账户业务就会提交至柜台人员进行相关资料复核。</w:t>
      </w:r>
    </w:p>
    <w:p>
      <w:pPr>
        <w:pStyle w:val="6"/>
        <w:ind w:firstLine="480" w:firstLineChars="200"/>
        <w:rPr>
          <w:sz w:val="24"/>
          <w:szCs w:val="24"/>
        </w:rPr>
      </w:pPr>
    </w:p>
    <w:p>
      <w:pPr>
        <w:pStyle w:val="6"/>
        <w:ind w:firstLine="420" w:firstLineChars="200"/>
        <w:jc w:val="center"/>
      </w:pPr>
      <w:r>
        <w:br w:type="page"/>
      </w:r>
    </w:p>
    <w:p>
      <w:pPr>
        <w:pStyle w:val="6"/>
        <w:rPr>
          <w:rFonts w:hint="eastAsia" w:eastAsia="宋体"/>
          <w:b/>
          <w:bCs/>
          <w:sz w:val="24"/>
          <w:szCs w:val="24"/>
          <w:lang w:eastAsia="zh-CN"/>
        </w:rPr>
      </w:pPr>
      <w:r>
        <w:rPr>
          <w:rFonts w:hint="eastAsia"/>
          <w:b/>
          <w:bCs/>
          <w:sz w:val="24"/>
          <w:szCs w:val="24"/>
          <w:lang w:eastAsia="zh-CN"/>
        </w:rPr>
        <w:t>说明：</w:t>
      </w:r>
    </w:p>
    <w:p>
      <w:pPr>
        <w:pStyle w:val="6"/>
        <w:ind w:firstLine="480" w:firstLineChars="200"/>
        <w:rPr>
          <w:sz w:val="24"/>
          <w:szCs w:val="24"/>
        </w:rPr>
      </w:pPr>
      <w:r>
        <w:rPr>
          <w:rFonts w:hint="eastAsia"/>
          <w:sz w:val="24"/>
          <w:szCs w:val="24"/>
        </w:rPr>
        <w:t>在我的业务中，客户能够查看到当前在途的业务类型和状态还有相应的其他信息，分为待完成业务和已完成业务。</w:t>
      </w:r>
    </w:p>
    <w:p>
      <w:pPr>
        <w:pStyle w:val="6"/>
        <w:ind w:firstLine="480" w:firstLineChars="200"/>
        <w:rPr>
          <w:sz w:val="24"/>
          <w:szCs w:val="24"/>
        </w:rPr>
      </w:pPr>
      <w:r>
        <w:rPr>
          <w:rFonts w:hint="eastAsia"/>
          <w:sz w:val="24"/>
          <w:szCs w:val="24"/>
        </w:rPr>
        <w:t>在待完成业务中客户可以通过“操作”或者“放弃”按钮对当前在途业务进行相应的操作，办理状态能够展示出客户的受理单在不同状态下的信息，备注信息可以展示出，在视频见证未通过和复核任务未通过下客服对客户的受理单驳回原因的展示。</w:t>
      </w:r>
    </w:p>
    <w:p>
      <w:pPr>
        <w:pStyle w:val="6"/>
        <w:ind w:firstLine="480" w:firstLineChars="200"/>
      </w:pPr>
      <w:r>
        <w:rPr>
          <w:rFonts w:hint="eastAsia"/>
          <w:sz w:val="24"/>
          <w:szCs w:val="24"/>
        </w:rPr>
        <w:t>若客户存在待完成业务，则无法进行其他业务操作。完成所有待办结业务，或点击“放弃”按钮放弃此业务操作后可进行其他业务。</w:t>
      </w:r>
      <w:r>
        <w:rPr>
          <w:rFonts w:hint="eastAsia"/>
        </w:rPr>
        <w:t xml:space="preserve">  </w:t>
      </w:r>
      <w:r>
        <w:drawing>
          <wp:inline distT="0" distB="0" distL="0" distR="0">
            <wp:extent cx="5274310" cy="200152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4310" cy="2001674"/>
                    </a:xfrm>
                    <a:prstGeom prst="rect">
                      <a:avLst/>
                    </a:prstGeom>
                  </pic:spPr>
                </pic:pic>
              </a:graphicData>
            </a:graphic>
          </wp:inline>
        </w:drawing>
      </w:r>
    </w:p>
    <w:p>
      <w:pPr>
        <w:pStyle w:val="6"/>
        <w:ind w:firstLine="3360" w:firstLineChars="1600"/>
      </w:pPr>
      <w:r>
        <w:rPr>
          <w:rFonts w:hint="eastAsia"/>
        </w:rPr>
        <w:t>我的业务</w:t>
      </w:r>
    </w:p>
    <w:p>
      <w:pPr>
        <w:pStyle w:val="6"/>
        <w:ind w:firstLine="420" w:firstLineChars="200"/>
      </w:pPr>
    </w:p>
    <w:p>
      <w:pPr>
        <w:pStyle w:val="6"/>
        <w:ind w:firstLine="480" w:firstLineChars="200"/>
        <w:rPr>
          <w:sz w:val="24"/>
          <w:szCs w:val="24"/>
        </w:rPr>
      </w:pPr>
      <w:r>
        <w:rPr>
          <w:rFonts w:hint="eastAsia"/>
          <w:sz w:val="24"/>
          <w:szCs w:val="24"/>
        </w:rPr>
        <w:t>在已完成业务中不允许客户对其进行操作。</w:t>
      </w:r>
    </w:p>
    <w:p>
      <w:pPr>
        <w:pStyle w:val="6"/>
        <w:ind w:left="3360" w:hanging="3360" w:hangingChars="1600"/>
      </w:pPr>
      <w:r>
        <w:drawing>
          <wp:inline distT="0" distB="0" distL="0" distR="0">
            <wp:extent cx="5274310" cy="2001520"/>
            <wp:effectExtent l="0" t="0" r="254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4310" cy="2001674"/>
                    </a:xfrm>
                    <a:prstGeom prst="rect">
                      <a:avLst/>
                    </a:prstGeom>
                  </pic:spPr>
                </pic:pic>
              </a:graphicData>
            </a:graphic>
          </wp:inline>
        </w:drawing>
      </w:r>
      <w:r>
        <w:rPr>
          <w:rFonts w:hint="eastAsia"/>
        </w:rPr>
        <w:t>我的业务</w:t>
      </w:r>
    </w:p>
    <w:p>
      <w:pPr>
        <w:pStyle w:val="6"/>
      </w:pPr>
    </w:p>
    <w:p>
      <w:pPr>
        <w:pStyle w:val="6"/>
        <w:ind w:firstLine="480" w:firstLineChars="200"/>
        <w:rPr>
          <w:sz w:val="24"/>
          <w:szCs w:val="24"/>
        </w:rPr>
      </w:pPr>
      <w:r>
        <w:rPr>
          <w:rFonts w:hint="eastAsia"/>
          <w:sz w:val="24"/>
          <w:szCs w:val="24"/>
        </w:rPr>
        <w:t>客户在办理业务中，可以通过点击左侧菜单栏我的业务进行跳转，可以查看我的业务中的信息并对其操作。</w:t>
      </w:r>
    </w:p>
    <w:p>
      <w:pPr>
        <w:pStyle w:val="6"/>
      </w:pPr>
      <w:r>
        <w:drawing>
          <wp:inline distT="0" distB="0" distL="114300" distR="114300">
            <wp:extent cx="5261610" cy="2312035"/>
            <wp:effectExtent l="0" t="0" r="15240" b="1206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8" cstate="print"/>
                    <a:stretch>
                      <a:fillRect/>
                    </a:stretch>
                  </pic:blipFill>
                  <pic:spPr>
                    <a:xfrm>
                      <a:off x="0" y="0"/>
                      <a:ext cx="5261610" cy="2312035"/>
                    </a:xfrm>
                    <a:prstGeom prst="rect">
                      <a:avLst/>
                    </a:prstGeom>
                    <a:noFill/>
                    <a:ln w="9525">
                      <a:noFill/>
                    </a:ln>
                  </pic:spPr>
                </pic:pic>
              </a:graphicData>
            </a:graphic>
          </wp:inline>
        </w:drawing>
      </w:r>
    </w:p>
    <w:p>
      <w:pPr>
        <w:pStyle w:val="6"/>
        <w:ind w:firstLine="3150" w:firstLineChars="1500"/>
        <w:rPr>
          <w:sz w:val="24"/>
          <w:szCs w:val="24"/>
        </w:rPr>
      </w:pPr>
      <w:r>
        <w:rPr>
          <w:rFonts w:hint="eastAsia"/>
        </w:rPr>
        <w:t>在途业务跳转我的业务</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CB737E"/>
    <w:rsid w:val="06D6008E"/>
    <w:rsid w:val="079A0939"/>
    <w:rsid w:val="5DCB7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3"/>
    <w:qFormat/>
    <w:uiPriority w:val="0"/>
    <w:pPr>
      <w:keepNext/>
      <w:keepLines/>
      <w:widowControl/>
      <w:tabs>
        <w:tab w:val="left" w:pos="537"/>
        <w:tab w:val="left" w:pos="576"/>
        <w:tab w:val="left" w:pos="860"/>
      </w:tabs>
      <w:topLinePunct/>
      <w:adjustRightInd w:val="0"/>
      <w:snapToGrid w:val="0"/>
      <w:spacing w:before="200" w:after="160" w:line="240" w:lineRule="atLeast"/>
      <w:jc w:val="left"/>
      <w:outlineLvl w:val="1"/>
    </w:pPr>
    <w:rPr>
      <w:rFonts w:ascii="Book Antiqua" w:hAnsi="Book Antiqua" w:cs="Book Antiqua" w:eastAsiaTheme="majorEastAsia"/>
      <w:b/>
      <w:bCs/>
      <w:kern w:val="0"/>
      <w:sz w:val="36"/>
      <w:szCs w:val="36"/>
      <w:lang w:eastAsia="en-US"/>
    </w:rPr>
  </w:style>
  <w:style w:type="paragraph" w:styleId="3">
    <w:name w:val="heading 3"/>
    <w:basedOn w:val="1"/>
    <w:next w:val="1"/>
    <w:semiHidden/>
    <w:unhideWhenUsed/>
    <w:qFormat/>
    <w:uiPriority w:val="9"/>
    <w:pPr>
      <w:keepNext/>
      <w:keepLines/>
      <w:spacing w:before="260" w:after="260" w:line="416" w:lineRule="auto"/>
      <w:outlineLvl w:val="2"/>
    </w:pPr>
    <w:rPr>
      <w:b/>
      <w:bCs/>
      <w:sz w:val="32"/>
      <w:szCs w:val="32"/>
    </w:rPr>
  </w:style>
  <w:style w:type="character" w:default="1" w:styleId="4">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customStyle="1" w:styleId="6">
    <w:name w:val="Table Text"/>
    <w:basedOn w:val="1"/>
    <w:qFormat/>
    <w:uiPriority w:val="0"/>
    <w:pPr>
      <w:topLinePunct/>
      <w:adjustRightInd w:val="0"/>
      <w:snapToGrid w:val="0"/>
      <w:spacing w:before="80" w:after="80" w:line="240" w:lineRule="atLeast"/>
      <w:jc w:val="left"/>
    </w:pPr>
    <w:rPr>
      <w:rFonts w:ascii="Times New Roman" w:hAnsi="Times New Roman" w:eastAsia="宋体" w:cs="Arial"/>
      <w:snapToGrid w:val="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cdqh</Company>
  <Pages>1</Pages>
  <Words>0</Words>
  <Characters>0</Characters>
  <Lines>0</Lines>
  <Paragraphs>0</Paragraphs>
  <TotalTime>6</TotalTime>
  <ScaleCrop>false</ScaleCrop>
  <LinksUpToDate>false</LinksUpToDate>
  <CharactersWithSpaces>0</CharactersWithSpaces>
  <Application>WPS Office_10.8.2.6543_F1E327BC-269C-435d-A152-05C5408002CA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2020-07-14T02:34:00Z</dcterms:created>
  <dc:creator>王双</dc:creator>
  <cp:lastModifiedBy>王双</cp:lastModifiedBy>
  <dcterms:modified xsi:type="dcterms:W3CDTF">2020-07-28T06:00:27Z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2052-10.8.2.6543</vt:lpwstr>
  </property>
</Properties>
</file>