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hint="eastAsia" w:ascii="宋体" w:eastAsia="宋体" w:cs="宋体"/>
          <w:b/>
          <w:bCs/>
          <w:kern w:val="0"/>
          <w:sz w:val="36"/>
          <w:szCs w:val="36"/>
        </w:rPr>
      </w:pPr>
      <w:r>
        <w:rPr>
          <w:rFonts w:hint="eastAsia" w:ascii="宋体" w:eastAsia="宋体" w:cs="宋体"/>
          <w:b/>
          <w:bCs/>
          <w:kern w:val="0"/>
          <w:sz w:val="36"/>
          <w:szCs w:val="36"/>
        </w:rPr>
        <w:t>财达期货期货开户云操作手册-</w:t>
      </w:r>
      <w:r>
        <w:rPr>
          <w:rFonts w:hint="eastAsia" w:ascii="宋体" w:eastAsia="宋体" w:cs="宋体"/>
          <w:b/>
          <w:bCs/>
          <w:kern w:val="0"/>
          <w:sz w:val="36"/>
          <w:szCs w:val="36"/>
          <w:lang w:eastAsia="zh-CN"/>
        </w:rPr>
        <w:t>增开交易编码</w:t>
      </w:r>
      <w:r>
        <w:rPr>
          <w:rFonts w:hint="eastAsia" w:ascii="宋体" w:eastAsia="宋体" w:cs="宋体"/>
          <w:b/>
          <w:bCs/>
          <w:kern w:val="0"/>
          <w:sz w:val="36"/>
          <w:szCs w:val="36"/>
        </w:rPr>
        <w:t>（APP）</w:t>
      </w:r>
    </w:p>
    <w:p>
      <w:pPr>
        <w:autoSpaceDE w:val="0"/>
        <w:autoSpaceDN w:val="0"/>
        <w:adjustRightInd w:val="0"/>
        <w:spacing w:line="360" w:lineRule="auto"/>
        <w:ind w:firstLine="480" w:firstLineChars="200"/>
        <w:jc w:val="left"/>
        <w:rPr>
          <w:rFonts w:hint="eastAsia" w:ascii="宋体" w:eastAsia="宋体" w:cs="宋体"/>
          <w:kern w:val="0"/>
          <w:sz w:val="24"/>
          <w:szCs w:val="24"/>
        </w:rPr>
      </w:pPr>
      <w:r>
        <w:rPr>
          <w:rFonts w:hint="eastAsia" w:ascii="宋体" w:eastAsia="宋体" w:cs="宋体"/>
          <w:kern w:val="0"/>
          <w:sz w:val="24"/>
          <w:szCs w:val="24"/>
        </w:rPr>
        <w:t>通过手机完成期货公司互联网开户的用户请首先准备好</w:t>
      </w:r>
      <w:r>
        <w:rPr>
          <w:rFonts w:hint="eastAsia" w:ascii="宋体" w:eastAsia="宋体" w:cs="宋体"/>
          <w:b/>
          <w:kern w:val="0"/>
          <w:sz w:val="24"/>
          <w:szCs w:val="24"/>
        </w:rPr>
        <w:t>二代身份证、银行卡（可提前拍照保存在手机相册中备用），并具备</w:t>
      </w:r>
      <w:r>
        <w:rPr>
          <w:rFonts w:ascii="Calibri-Bold" w:eastAsia="Calibri-Bold" w:cs="Calibri-Bold"/>
          <w:b/>
          <w:bCs/>
          <w:kern w:val="0"/>
          <w:sz w:val="24"/>
          <w:szCs w:val="24"/>
        </w:rPr>
        <w:t xml:space="preserve">Wi-Fi </w:t>
      </w:r>
      <w:r>
        <w:rPr>
          <w:rFonts w:hint="eastAsia" w:ascii="宋体" w:eastAsia="宋体" w:cs="宋体"/>
          <w:b/>
          <w:kern w:val="0"/>
          <w:sz w:val="24"/>
          <w:szCs w:val="24"/>
        </w:rPr>
        <w:t>环境</w:t>
      </w:r>
      <w:r>
        <w:rPr>
          <w:rFonts w:hint="eastAsia" w:ascii="宋体" w:eastAsia="宋体" w:cs="宋体"/>
          <w:kern w:val="0"/>
          <w:sz w:val="24"/>
          <w:szCs w:val="24"/>
        </w:rPr>
        <w:t>以保证开户环节的顺利进行。</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宋体" w:eastAsia="宋体" w:cs="宋体"/>
          <w:kern w:val="0"/>
          <w:sz w:val="24"/>
          <w:szCs w:val="24"/>
          <w:lang w:eastAsia="zh-CN"/>
        </w:rPr>
        <w:t>手机配置要求：</w:t>
      </w:r>
      <w:r>
        <w:rPr>
          <w:rFonts w:hint="eastAsia" w:ascii="宋体" w:eastAsia="宋体" w:cs="宋体"/>
          <w:kern w:val="0"/>
          <w:sz w:val="24"/>
          <w:szCs w:val="24"/>
        </w:rPr>
        <w:t>苹果手机版本需为</w:t>
      </w:r>
      <w:r>
        <w:rPr>
          <w:rFonts w:ascii="宋体" w:eastAsia="宋体" w:cs="宋体"/>
          <w:kern w:val="0"/>
          <w:sz w:val="24"/>
          <w:szCs w:val="24"/>
        </w:rPr>
        <w:t xml:space="preserve">ios7 </w:t>
      </w:r>
      <w:r>
        <w:rPr>
          <w:rFonts w:hint="eastAsia" w:ascii="宋体" w:eastAsia="宋体" w:cs="宋体"/>
          <w:kern w:val="0"/>
          <w:sz w:val="24"/>
          <w:szCs w:val="24"/>
        </w:rPr>
        <w:t>以上，安卓</w:t>
      </w:r>
      <w:r>
        <w:rPr>
          <w:rFonts w:hint="eastAsia" w:ascii="宋体" w:eastAsia="宋体" w:cs="宋体"/>
          <w:kern w:val="0"/>
          <w:sz w:val="24"/>
          <w:szCs w:val="24"/>
          <w:lang w:eastAsia="zh-CN"/>
        </w:rPr>
        <w:t>系统</w:t>
      </w:r>
      <w:r>
        <w:rPr>
          <w:rFonts w:hint="eastAsia" w:ascii="宋体" w:eastAsia="宋体" w:cs="宋体"/>
          <w:kern w:val="0"/>
          <w:sz w:val="24"/>
          <w:szCs w:val="24"/>
        </w:rPr>
        <w:t>需为</w:t>
      </w:r>
      <w:r>
        <w:rPr>
          <w:rFonts w:ascii="宋体" w:eastAsia="宋体" w:cs="宋体"/>
          <w:kern w:val="0"/>
          <w:sz w:val="24"/>
          <w:szCs w:val="24"/>
        </w:rPr>
        <w:t xml:space="preserve">4.4 </w:t>
      </w:r>
      <w:r>
        <w:rPr>
          <w:rFonts w:hint="eastAsia" w:ascii="宋体" w:eastAsia="宋体" w:cs="宋体"/>
          <w:kern w:val="0"/>
          <w:sz w:val="24"/>
          <w:szCs w:val="24"/>
        </w:rPr>
        <w:t>版本以上</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1、</w:t>
      </w:r>
      <w:r>
        <w:rPr>
          <w:rFonts w:ascii="Calibri" w:hAnsi="Calibri" w:eastAsia="宋体" w:cs="Calibri"/>
          <w:kern w:val="0"/>
          <w:sz w:val="24"/>
          <w:szCs w:val="24"/>
        </w:rPr>
        <w:t xml:space="preserve">IOS </w:t>
      </w:r>
      <w:r>
        <w:rPr>
          <w:rFonts w:hint="eastAsia" w:ascii="宋体" w:eastAsia="宋体" w:cs="宋体"/>
          <w:kern w:val="0"/>
          <w:sz w:val="24"/>
          <w:szCs w:val="24"/>
        </w:rPr>
        <w:t>版本</w:t>
      </w:r>
      <w:r>
        <w:rPr>
          <w:rFonts w:hint="eastAsia" w:ascii="宋体" w:eastAsia="宋体" w:cs="宋体"/>
          <w:kern w:val="0"/>
          <w:sz w:val="24"/>
          <w:szCs w:val="24"/>
          <w:lang w:eastAsia="zh-CN"/>
        </w:rPr>
        <w:t>手机用户可直接登录</w:t>
      </w:r>
      <w:r>
        <w:rPr>
          <w:rFonts w:hint="eastAsia" w:ascii="宋体" w:eastAsia="宋体" w:cs="宋体"/>
          <w:kern w:val="0"/>
          <w:sz w:val="24"/>
          <w:szCs w:val="24"/>
        </w:rPr>
        <w:t>苹果商店，搜索</w:t>
      </w:r>
      <w:r>
        <w:rPr>
          <w:rFonts w:ascii="Calibri" w:hAnsi="Calibri" w:eastAsia="宋体" w:cs="Calibri"/>
          <w:kern w:val="0"/>
          <w:sz w:val="24"/>
          <w:szCs w:val="24"/>
        </w:rPr>
        <w:t>“</w:t>
      </w:r>
      <w:r>
        <w:rPr>
          <w:rFonts w:hint="eastAsia" w:ascii="宋体" w:eastAsia="宋体" w:cs="宋体"/>
          <w:kern w:val="0"/>
          <w:sz w:val="24"/>
          <w:szCs w:val="24"/>
        </w:rPr>
        <w:t>期货开户云</w:t>
      </w:r>
      <w:r>
        <w:rPr>
          <w:rFonts w:hint="eastAsia" w:ascii="宋体" w:eastAsia="宋体" w:cs="宋体"/>
          <w:kern w:val="0"/>
          <w:sz w:val="24"/>
          <w:szCs w:val="24"/>
          <w:lang w:val="en-US" w:eastAsia="zh-CN"/>
        </w:rPr>
        <w:t>2019版</w:t>
      </w:r>
      <w:r>
        <w:rPr>
          <w:rFonts w:ascii="Calibri" w:hAnsi="Calibri" w:eastAsia="宋体" w:cs="Calibri"/>
          <w:kern w:val="0"/>
          <w:sz w:val="24"/>
          <w:szCs w:val="24"/>
        </w:rPr>
        <w:t>”</w:t>
      </w:r>
      <w:r>
        <w:rPr>
          <w:rFonts w:hint="eastAsia" w:ascii="宋体" w:eastAsia="宋体" w:cs="宋体"/>
          <w:kern w:val="0"/>
          <w:sz w:val="24"/>
          <w:szCs w:val="24"/>
        </w:rPr>
        <w:t>，</w:t>
      </w:r>
      <w:r>
        <w:rPr>
          <w:rFonts w:hint="eastAsia" w:ascii="宋体" w:eastAsia="宋体" w:cs="宋体"/>
          <w:kern w:val="0"/>
          <w:sz w:val="24"/>
          <w:szCs w:val="24"/>
          <w:lang w:eastAsia="zh-CN"/>
        </w:rPr>
        <w:t>也可以扫描下方二维码，</w:t>
      </w:r>
      <w:r>
        <w:rPr>
          <w:rFonts w:hint="eastAsia" w:ascii="宋体" w:eastAsia="宋体" w:cs="宋体"/>
          <w:kern w:val="0"/>
          <w:sz w:val="24"/>
          <w:szCs w:val="24"/>
        </w:rPr>
        <w:t>下载安装</w:t>
      </w:r>
      <w:r>
        <w:rPr>
          <w:rFonts w:hint="eastAsia" w:ascii="宋体" w:eastAsia="宋体" w:cs="宋体"/>
          <w:kern w:val="0"/>
          <w:sz w:val="24"/>
          <w:szCs w:val="24"/>
          <w:lang w:eastAsia="zh-CN"/>
        </w:rPr>
        <w:t>使用</w:t>
      </w:r>
      <w:r>
        <w:rPr>
          <w:rFonts w:hint="eastAsia" w:ascii="宋体" w:eastAsia="宋体" w:cs="宋体"/>
          <w:kern w:val="0"/>
          <w:sz w:val="24"/>
          <w:szCs w:val="24"/>
        </w:rPr>
        <w:t>。</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2、</w:t>
      </w:r>
      <w:r>
        <w:rPr>
          <w:rFonts w:hint="eastAsia" w:ascii="宋体" w:eastAsia="宋体" w:cs="宋体"/>
          <w:kern w:val="0"/>
          <w:sz w:val="24"/>
          <w:szCs w:val="24"/>
        </w:rPr>
        <w:t>Android版本</w:t>
      </w:r>
      <w:r>
        <w:rPr>
          <w:rFonts w:hint="eastAsia" w:ascii="宋体" w:eastAsia="宋体" w:cs="宋体"/>
          <w:kern w:val="0"/>
          <w:sz w:val="24"/>
          <w:szCs w:val="24"/>
          <w:lang w:eastAsia="zh-CN"/>
        </w:rPr>
        <w:t>手机用户请扫描下方</w:t>
      </w:r>
      <w:r>
        <w:rPr>
          <w:rFonts w:hint="eastAsia" w:ascii="宋体" w:eastAsia="宋体" w:cs="宋体"/>
          <w:kern w:val="0"/>
          <w:sz w:val="24"/>
          <w:szCs w:val="24"/>
        </w:rPr>
        <w:t>二维码</w:t>
      </w:r>
      <w:r>
        <w:rPr>
          <w:rFonts w:hint="eastAsia" w:ascii="宋体" w:eastAsia="宋体" w:cs="宋体"/>
          <w:kern w:val="0"/>
          <w:sz w:val="24"/>
          <w:szCs w:val="24"/>
          <w:lang w:eastAsia="zh-CN"/>
        </w:rPr>
        <w:t>，下载安装“期货开户云</w:t>
      </w:r>
      <w:r>
        <w:rPr>
          <w:rFonts w:hint="eastAsia" w:ascii="宋体" w:eastAsia="宋体" w:cs="宋体"/>
          <w:kern w:val="0"/>
          <w:sz w:val="24"/>
          <w:szCs w:val="24"/>
          <w:lang w:val="en-US" w:eastAsia="zh-CN"/>
        </w:rPr>
        <w:t>2019版</w:t>
      </w:r>
      <w:r>
        <w:rPr>
          <w:rFonts w:hint="eastAsia" w:ascii="宋体" w:eastAsia="宋体" w:cs="宋体"/>
          <w:kern w:val="0"/>
          <w:sz w:val="24"/>
          <w:szCs w:val="24"/>
          <w:lang w:eastAsia="zh-CN"/>
        </w:rPr>
        <w:t>”</w:t>
      </w:r>
      <w:r>
        <w:rPr>
          <w:rFonts w:hint="eastAsia" w:ascii="宋体" w:eastAsia="宋体" w:cs="宋体"/>
          <w:kern w:val="0"/>
          <w:sz w:val="24"/>
          <w:szCs w:val="24"/>
        </w:rPr>
        <w:t>。</w:t>
      </w:r>
    </w:p>
    <w:p>
      <w:pPr>
        <w:autoSpaceDE w:val="0"/>
        <w:autoSpaceDN w:val="0"/>
        <w:adjustRightInd w:val="0"/>
        <w:spacing w:line="360" w:lineRule="auto"/>
        <w:jc w:val="center"/>
        <w:rPr>
          <w:rFonts w:hint="eastAsia" w:ascii="宋体" w:eastAsia="宋体" w:cs="宋体"/>
          <w:kern w:val="0"/>
          <w:sz w:val="24"/>
          <w:szCs w:val="24"/>
          <w:lang w:eastAsia="zh-CN"/>
        </w:rPr>
      </w:pPr>
      <w:r>
        <w:rPr>
          <w:rFonts w:hint="eastAsia" w:ascii="宋体" w:eastAsia="宋体" w:cs="宋体"/>
          <w:kern w:val="0"/>
          <w:sz w:val="24"/>
          <w:szCs w:val="24"/>
          <w:lang w:eastAsia="zh-CN"/>
        </w:rPr>
        <w:drawing>
          <wp:inline distT="0" distB="0" distL="114300" distR="114300">
            <wp:extent cx="2047875" cy="2047875"/>
            <wp:effectExtent l="0" t="0" r="9525" b="9525"/>
            <wp:docPr id="10" name="图片 10" descr="期货开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期货开户"/>
                    <pic:cNvPicPr>
                      <a:picLocks noChangeAspect="1"/>
                    </pic:cNvPicPr>
                  </pic:nvPicPr>
                  <pic:blipFill>
                    <a:blip r:embed="rId4"/>
                    <a:stretch>
                      <a:fillRect/>
                    </a:stretch>
                  </pic:blipFill>
                  <pic:spPr>
                    <a:xfrm>
                      <a:off x="0" y="0"/>
                      <a:ext cx="2047875" cy="2047875"/>
                    </a:xfrm>
                    <a:prstGeom prst="rect">
                      <a:avLst/>
                    </a:prstGeom>
                  </pic:spPr>
                </pic:pic>
              </a:graphicData>
            </a:graphic>
          </wp:inline>
        </w:drawing>
      </w:r>
    </w:p>
    <w:p>
      <w:pPr>
        <w:autoSpaceDE w:val="0"/>
        <w:autoSpaceDN w:val="0"/>
        <w:adjustRightInd w:val="0"/>
        <w:spacing w:line="360" w:lineRule="auto"/>
        <w:ind w:firstLine="480" w:firstLineChars="200"/>
        <w:jc w:val="left"/>
        <w:rPr>
          <w:rFonts w:hint="eastAsia"/>
          <w:lang w:eastAsia="zh-CN"/>
        </w:rPr>
      </w:pPr>
      <w:r>
        <w:rPr>
          <w:rFonts w:hint="eastAsia" w:ascii="宋体" w:eastAsia="宋体" w:cs="宋体"/>
          <w:kern w:val="0"/>
          <w:sz w:val="24"/>
          <w:szCs w:val="24"/>
          <w:lang w:val="en-US" w:eastAsia="zh-CN"/>
        </w:rPr>
        <w:t>3、在财达期货博易APP和财达期货恒生APP首页点击“在线开户”，可直接进入开户页面。</w:t>
      </w:r>
    </w:p>
    <w:p>
      <w:pPr>
        <w:pStyle w:val="2"/>
        <w:tabs>
          <w:tab w:val="clear" w:pos="537"/>
          <w:tab w:val="clear" w:pos="860"/>
        </w:tabs>
        <w:spacing w:line="300" w:lineRule="auto"/>
        <w:jc w:val="center"/>
        <w:rPr>
          <w:rFonts w:hint="eastAsia" w:ascii="宋体" w:hAnsi="宋体" w:eastAsia="宋体" w:cs="宋体"/>
          <w:i/>
          <w:iCs/>
          <w:u w:val="single"/>
          <w:lang w:eastAsia="zh-CN"/>
        </w:rPr>
      </w:pPr>
      <w:r>
        <w:rPr>
          <w:rFonts w:hint="eastAsia" w:ascii="宋体" w:hAnsi="宋体" w:eastAsia="宋体" w:cs="宋体"/>
          <w:i/>
          <w:iCs/>
          <w:u w:val="single"/>
          <w:lang w:val="en-US" w:eastAsia="zh-CN"/>
        </w:rPr>
        <w:t>Step1.</w:t>
      </w:r>
      <w:r>
        <w:rPr>
          <w:rFonts w:hint="eastAsia" w:ascii="宋体" w:hAnsi="宋体" w:eastAsia="宋体" w:cs="宋体"/>
          <w:i/>
          <w:iCs/>
          <w:u w:val="single"/>
          <w:lang w:eastAsia="zh-CN"/>
        </w:rPr>
        <w:t>登录期货互联网开户云app</w:t>
      </w:r>
    </w:p>
    <w:p>
      <w:pPr>
        <w:pStyle w:val="7"/>
        <w:spacing w:line="300" w:lineRule="auto"/>
        <w:ind w:firstLine="480" w:firstLineChars="200"/>
        <w:rPr>
          <w:sz w:val="24"/>
          <w:szCs w:val="24"/>
        </w:rPr>
      </w:pPr>
      <w:r>
        <w:rPr>
          <w:rFonts w:hint="eastAsia"/>
          <w:sz w:val="24"/>
          <w:szCs w:val="24"/>
        </w:rPr>
        <w:t>打开开户云app，登录以后会出现如图所示的页面，有两种方式进行开户，第一种可以直接在输入框输入期货公司</w:t>
      </w:r>
      <w:r>
        <w:rPr>
          <w:rFonts w:hint="eastAsia"/>
          <w:b/>
          <w:bCs/>
          <w:sz w:val="24"/>
          <w:szCs w:val="24"/>
        </w:rPr>
        <w:t>编号</w:t>
      </w:r>
      <w:r>
        <w:rPr>
          <w:rFonts w:hint="eastAsia"/>
          <w:b/>
          <w:bCs/>
          <w:sz w:val="24"/>
          <w:szCs w:val="24"/>
          <w:lang w:val="en-US" w:eastAsia="zh-CN"/>
        </w:rPr>
        <w:t>(0100)</w:t>
      </w:r>
      <w:r>
        <w:rPr>
          <w:rFonts w:hint="eastAsia"/>
          <w:sz w:val="24"/>
          <w:szCs w:val="24"/>
        </w:rPr>
        <w:t>进行开户，第二种点击扫描下方二维码开户，点击下一步，接着会到业务选择页面，点击开立期货账户会进入到登录页面</w:t>
      </w:r>
    </w:p>
    <w:p>
      <w:pPr>
        <w:pStyle w:val="7"/>
        <w:spacing w:line="300" w:lineRule="auto"/>
        <w:jc w:val="center"/>
        <w:rPr>
          <w:snapToGrid/>
          <w:sz w:val="24"/>
          <w:szCs w:val="24"/>
        </w:rPr>
      </w:pPr>
      <w:r>
        <w:rPr>
          <w:snapToGrid/>
          <w:sz w:val="24"/>
          <w:szCs w:val="24"/>
        </w:rPr>
        <w:drawing>
          <wp:inline distT="0" distB="0" distL="0" distR="0">
            <wp:extent cx="2695575" cy="4719320"/>
            <wp:effectExtent l="0" t="0" r="9525" b="5080"/>
            <wp:docPr id="4" name="图片 4" descr="C:\Users\HSPCAD~1\AppData\Local\Temp\WeChat Files\c00b8b5971cabaadafd5f3b01ce4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SPCAD~1\AppData\Local\Temp\WeChat Files\c00b8b5971cabaadafd5f3b01ce406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95575" cy="4719556"/>
                    </a:xfrm>
                    <a:prstGeom prst="rect">
                      <a:avLst/>
                    </a:prstGeom>
                    <a:noFill/>
                    <a:ln>
                      <a:noFill/>
                    </a:ln>
                  </pic:spPr>
                </pic:pic>
              </a:graphicData>
            </a:graphic>
          </wp:inline>
        </w:drawing>
      </w:r>
    </w:p>
    <w:p>
      <w:pPr>
        <w:pStyle w:val="7"/>
        <w:spacing w:line="300" w:lineRule="auto"/>
        <w:jc w:val="center"/>
        <w:rPr>
          <w:sz w:val="24"/>
          <w:szCs w:val="24"/>
        </w:rPr>
      </w:pPr>
      <w:r>
        <w:rPr>
          <w:rFonts w:hint="eastAsia"/>
          <w:sz w:val="24"/>
          <w:szCs w:val="24"/>
        </w:rPr>
        <w:t>期货开户云app输入期货公司编号页</w:t>
      </w:r>
    </w:p>
    <w:p>
      <w:pPr>
        <w:spacing w:line="300" w:lineRule="auto"/>
        <w:jc w:val="center"/>
      </w:pPr>
      <w:r>
        <w:drawing>
          <wp:inline distT="0" distB="0" distL="0" distR="0">
            <wp:extent cx="2847975" cy="4979035"/>
            <wp:effectExtent l="0" t="0" r="9525" b="12065"/>
            <wp:docPr id="6" name="图片 6" descr="C:\Users\HSPCAD~1\AppData\Local\Temp\WeChat Files\e82c1b810b7409ed2a2a2440eca6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SPCAD~1\AppData\Local\Temp\WeChat Files\e82c1b810b7409ed2a2a2440eca64d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50075" cy="4982717"/>
                    </a:xfrm>
                    <a:prstGeom prst="rect">
                      <a:avLst/>
                    </a:prstGeom>
                    <a:noFill/>
                    <a:ln>
                      <a:noFill/>
                    </a:ln>
                  </pic:spPr>
                </pic:pic>
              </a:graphicData>
            </a:graphic>
          </wp:inline>
        </w:drawing>
      </w:r>
    </w:p>
    <w:p>
      <w:pPr>
        <w:spacing w:line="300" w:lineRule="auto"/>
        <w:jc w:val="center"/>
        <w:rPr>
          <w:sz w:val="24"/>
        </w:rPr>
      </w:pPr>
      <w:r>
        <w:rPr>
          <w:rFonts w:hint="eastAsia"/>
          <w:sz w:val="24"/>
        </w:rPr>
        <w:t>期货开户云app业务选择页面</w:t>
      </w:r>
    </w:p>
    <w:p>
      <w:pPr>
        <w:pStyle w:val="7"/>
        <w:spacing w:line="300" w:lineRule="auto"/>
        <w:jc w:val="center"/>
        <w:rPr>
          <w:sz w:val="24"/>
          <w:szCs w:val="24"/>
        </w:rPr>
      </w:pPr>
      <w:r>
        <w:drawing>
          <wp:inline distT="0" distB="0" distL="114300" distR="114300">
            <wp:extent cx="2495550" cy="4380865"/>
            <wp:effectExtent l="0" t="0" r="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2495550" cy="4380865"/>
                    </a:xfrm>
                    <a:prstGeom prst="rect">
                      <a:avLst/>
                    </a:prstGeom>
                    <a:noFill/>
                    <a:ln w="9525">
                      <a:noFill/>
                    </a:ln>
                  </pic:spPr>
                </pic:pic>
              </a:graphicData>
            </a:graphic>
          </wp:inline>
        </w:drawing>
      </w:r>
    </w:p>
    <w:p>
      <w:pPr>
        <w:pStyle w:val="7"/>
        <w:spacing w:line="300" w:lineRule="auto"/>
        <w:jc w:val="center"/>
        <w:rPr>
          <w:sz w:val="24"/>
          <w:szCs w:val="24"/>
        </w:rPr>
      </w:pPr>
      <w:r>
        <w:rPr>
          <w:rFonts w:hint="eastAsia"/>
          <w:sz w:val="24"/>
          <w:szCs w:val="24"/>
        </w:rPr>
        <w:t>期货开户云app登录页面</w:t>
      </w:r>
    </w:p>
    <w:p>
      <w:pPr>
        <w:pStyle w:val="7"/>
        <w:spacing w:line="300" w:lineRule="auto"/>
        <w:ind w:firstLine="360" w:firstLineChars="150"/>
        <w:rPr>
          <w:sz w:val="24"/>
          <w:szCs w:val="24"/>
        </w:rPr>
      </w:pPr>
    </w:p>
    <w:p>
      <w:pPr>
        <w:pStyle w:val="2"/>
        <w:tabs>
          <w:tab w:val="clear" w:pos="537"/>
          <w:tab w:val="clear" w:pos="860"/>
        </w:tabs>
        <w:spacing w:line="300" w:lineRule="auto"/>
        <w:jc w:val="center"/>
        <w:rPr>
          <w:lang w:eastAsia="zh-CN"/>
        </w:rPr>
      </w:pPr>
      <w:r>
        <w:rPr>
          <w:rFonts w:hint="eastAsia" w:ascii="宋体" w:hAnsi="宋体" w:eastAsia="宋体" w:cs="宋体"/>
          <w:i/>
          <w:iCs/>
          <w:u w:val="single"/>
          <w:lang w:val="en-US" w:eastAsia="zh-CN"/>
        </w:rPr>
        <w:t>Step2.上传照片</w:t>
      </w:r>
    </w:p>
    <w:p>
      <w:pPr>
        <w:pStyle w:val="7"/>
        <w:spacing w:line="300" w:lineRule="auto"/>
        <w:ind w:firstLine="480" w:firstLineChars="200"/>
        <w:rPr>
          <w:sz w:val="24"/>
          <w:szCs w:val="24"/>
        </w:rPr>
      </w:pPr>
      <w:r>
        <w:rPr>
          <w:rFonts w:hint="eastAsia"/>
          <w:sz w:val="24"/>
          <w:szCs w:val="24"/>
        </w:rPr>
        <w:t>进入到上传照片页面，根据按钮提示上传身份证正面、反面和签名照等图片，上传的照片必须是近距离拍摄、画面清楚的，否则会影响到后面获取客户资料的流程。详细的注意事项请阅读页面上方的温馨提示。上传照片页面如</w:t>
      </w:r>
      <w:r>
        <w:rPr>
          <w:rFonts w:hint="eastAsia"/>
          <w:sz w:val="24"/>
          <w:szCs w:val="24"/>
          <w:lang w:eastAsia="zh-CN"/>
        </w:rPr>
        <w:t>下图</w:t>
      </w:r>
      <w:r>
        <w:rPr>
          <w:rFonts w:hint="eastAsia"/>
          <w:sz w:val="24"/>
          <w:szCs w:val="24"/>
        </w:rPr>
        <w:t>所示：</w:t>
      </w:r>
    </w:p>
    <w:p>
      <w:pPr>
        <w:spacing w:line="300" w:lineRule="auto"/>
        <w:jc w:val="center"/>
      </w:pPr>
      <w:r>
        <w:drawing>
          <wp:inline distT="0" distB="0" distL="0" distR="0">
            <wp:extent cx="2820670" cy="4882515"/>
            <wp:effectExtent l="0" t="0" r="17780" b="13335"/>
            <wp:docPr id="17" name="图片 2" descr="C:\Users\Administrator\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C:\Users\Administrator\Desktop\11.bmp"/>
                    <pic:cNvPicPr>
                      <a:picLocks noChangeAspect="1" noChangeArrowheads="1"/>
                    </pic:cNvPicPr>
                  </pic:nvPicPr>
                  <pic:blipFill>
                    <a:blip r:embed="rId8"/>
                    <a:srcRect/>
                    <a:stretch>
                      <a:fillRect/>
                    </a:stretch>
                  </pic:blipFill>
                  <pic:spPr>
                    <a:xfrm>
                      <a:off x="0" y="0"/>
                      <a:ext cx="2820670" cy="4882515"/>
                    </a:xfrm>
                    <a:prstGeom prst="rect">
                      <a:avLst/>
                    </a:prstGeom>
                    <a:noFill/>
                    <a:ln w="9525">
                      <a:noFill/>
                      <a:miter lim="800000"/>
                      <a:headEnd/>
                      <a:tailEnd/>
                    </a:ln>
                  </pic:spPr>
                </pic:pic>
              </a:graphicData>
            </a:graphic>
          </wp:inline>
        </w:drawing>
      </w:r>
    </w:p>
    <w:p>
      <w:pPr>
        <w:spacing w:line="300" w:lineRule="auto"/>
        <w:jc w:val="center"/>
      </w:pPr>
      <w:r>
        <w:rPr>
          <w:rFonts w:hint="eastAsia"/>
        </w:rPr>
        <w:t>期货开户云app上传身份证页</w:t>
      </w:r>
    </w:p>
    <w:p>
      <w:pPr>
        <w:spacing w:line="300" w:lineRule="auto"/>
        <w:ind w:firstLine="210" w:firstLineChars="100"/>
      </w:pPr>
    </w:p>
    <w:p>
      <w:pPr>
        <w:pStyle w:val="7"/>
        <w:spacing w:line="300" w:lineRule="auto"/>
        <w:ind w:firstLine="480" w:firstLineChars="200"/>
        <w:rPr>
          <w:sz w:val="24"/>
          <w:szCs w:val="24"/>
        </w:rPr>
      </w:pPr>
      <w:r>
        <w:rPr>
          <w:rFonts w:hint="eastAsia"/>
          <w:sz w:val="24"/>
          <w:szCs w:val="24"/>
        </w:rPr>
        <w:t>所有照片都上传成功以后，请阅读“数字证书安全责任书”，阅读完成并同意后点击“下一步”进入到“个人基本资料”页面。</w:t>
      </w:r>
    </w:p>
    <w:p>
      <w:pPr>
        <w:pStyle w:val="2"/>
        <w:tabs>
          <w:tab w:val="clear" w:pos="537"/>
          <w:tab w:val="clear" w:pos="860"/>
        </w:tabs>
        <w:spacing w:line="300" w:lineRule="auto"/>
        <w:jc w:val="center"/>
        <w:rPr>
          <w:rFonts w:hint="eastAsia" w:ascii="宋体" w:hAnsi="宋体" w:eastAsia="宋体" w:cs="宋体"/>
          <w:i/>
          <w:iCs/>
          <w:u w:val="single"/>
          <w:lang w:eastAsia="zh-CN"/>
        </w:rPr>
      </w:pPr>
      <w:bookmarkStart w:id="0" w:name="_Toc16223"/>
      <w:bookmarkStart w:id="1" w:name="_Toc8049285"/>
      <w:r>
        <w:rPr>
          <w:rFonts w:hint="eastAsia" w:ascii="宋体" w:hAnsi="宋体" w:eastAsia="宋体" w:cs="宋体"/>
          <w:i/>
          <w:iCs/>
          <w:u w:val="single"/>
          <w:lang w:val="en-US" w:eastAsia="zh-CN"/>
        </w:rPr>
        <w:t>Step3.</w:t>
      </w:r>
      <w:r>
        <w:rPr>
          <w:rFonts w:hint="eastAsia" w:ascii="宋体" w:hAnsi="宋体" w:eastAsia="宋体" w:cs="宋体"/>
          <w:i/>
          <w:iCs/>
          <w:u w:val="single"/>
          <w:lang w:eastAsia="zh-CN"/>
        </w:rPr>
        <w:t>个人基本资料</w:t>
      </w:r>
      <w:bookmarkEnd w:id="0"/>
      <w:bookmarkEnd w:id="1"/>
    </w:p>
    <w:p>
      <w:pPr>
        <w:pStyle w:val="7"/>
        <w:spacing w:line="300" w:lineRule="auto"/>
        <w:ind w:firstLine="480" w:firstLineChars="200"/>
        <w:rPr>
          <w:sz w:val="24"/>
          <w:szCs w:val="24"/>
        </w:rPr>
      </w:pPr>
      <w:r>
        <w:rPr>
          <w:rFonts w:hint="eastAsia"/>
          <w:sz w:val="24"/>
          <w:szCs w:val="24"/>
        </w:rPr>
        <w:t>进入到“个人基本资料”页面，会看到所有信息是已经默认填写的，这些都是客户在系统预留的信息，客户是不可对其修改的，可以点击“返回上一步”重新上传照片信息。基本资料前端标“*”的为必填选项，若此必填信息为空，则需要投资者先完成适当性评估后再进行增开交易编码业务，基本资料的界面如图所示：</w:t>
      </w:r>
    </w:p>
    <w:p>
      <w:pPr>
        <w:pStyle w:val="7"/>
        <w:spacing w:line="300" w:lineRule="auto"/>
        <w:jc w:val="center"/>
        <w:rPr>
          <w:sz w:val="24"/>
          <w:szCs w:val="24"/>
        </w:rPr>
      </w:pPr>
      <w:r>
        <w:rPr>
          <w:snapToGrid/>
          <w:sz w:val="24"/>
          <w:szCs w:val="24"/>
        </w:rPr>
        <w:drawing>
          <wp:inline distT="0" distB="0" distL="0" distR="0">
            <wp:extent cx="2781300" cy="4895850"/>
            <wp:effectExtent l="0" t="0" r="0" b="0"/>
            <wp:docPr id="11" name="图片 11" descr="C:\Users\HSPCAD~1\AppData\Local\Temp\WeChat Files\a767daed56e998791d6ce0bc7661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HSPCAD~1\AppData\Local\Temp\WeChat Files\a767daed56e998791d6ce0bc7661d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81300" cy="4895850"/>
                    </a:xfrm>
                    <a:prstGeom prst="rect">
                      <a:avLst/>
                    </a:prstGeom>
                    <a:noFill/>
                    <a:ln>
                      <a:noFill/>
                    </a:ln>
                  </pic:spPr>
                </pic:pic>
              </a:graphicData>
            </a:graphic>
          </wp:inline>
        </w:drawing>
      </w:r>
      <w:r>
        <w:rPr>
          <w:snapToGrid/>
          <w:sz w:val="24"/>
          <w:szCs w:val="24"/>
        </w:rPr>
        <w:drawing>
          <wp:inline distT="0" distB="0" distL="0" distR="0">
            <wp:extent cx="2781300" cy="4876800"/>
            <wp:effectExtent l="0" t="0" r="0" b="0"/>
            <wp:docPr id="12" name="图片 12" descr="C:\Users\HSPCAD~1\AppData\Local\Temp\WeChat Files\0385497205eda4d10ad696f315d4f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HSPCAD~1\AppData\Local\Temp\WeChat Files\0385497205eda4d10ad696f315d4f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81300" cy="4876800"/>
                    </a:xfrm>
                    <a:prstGeom prst="rect">
                      <a:avLst/>
                    </a:prstGeom>
                    <a:noFill/>
                    <a:ln>
                      <a:noFill/>
                    </a:ln>
                  </pic:spPr>
                </pic:pic>
              </a:graphicData>
            </a:graphic>
          </wp:inline>
        </w:drawing>
      </w:r>
    </w:p>
    <w:p>
      <w:pPr>
        <w:pStyle w:val="7"/>
        <w:spacing w:line="300" w:lineRule="auto"/>
        <w:ind w:firstLine="3480" w:firstLineChars="1450"/>
        <w:rPr>
          <w:sz w:val="24"/>
          <w:szCs w:val="24"/>
        </w:rPr>
      </w:pPr>
      <w:r>
        <w:rPr>
          <w:rFonts w:hint="eastAsia"/>
          <w:sz w:val="24"/>
          <w:szCs w:val="24"/>
        </w:rPr>
        <w:t>个人基本资料</w:t>
      </w:r>
    </w:p>
    <w:p>
      <w:pPr>
        <w:pStyle w:val="2"/>
        <w:spacing w:line="300" w:lineRule="auto"/>
        <w:jc w:val="center"/>
        <w:rPr>
          <w:rFonts w:hint="eastAsia" w:ascii="宋体" w:hAnsi="宋体" w:eastAsia="宋体" w:cs="宋体"/>
          <w:i/>
          <w:iCs/>
          <w:u w:val="single"/>
          <w:lang w:eastAsia="zh-CN"/>
        </w:rPr>
      </w:pPr>
      <w:r>
        <w:rPr>
          <w:rFonts w:hint="eastAsia" w:ascii="宋体" w:hAnsi="宋体" w:eastAsia="宋体" w:cs="宋体"/>
          <w:i/>
          <w:iCs/>
          <w:u w:val="single"/>
          <w:lang w:val="en-US" w:eastAsia="zh-CN"/>
        </w:rPr>
        <w:t>Step4.</w:t>
      </w:r>
      <w:r>
        <w:rPr>
          <w:rFonts w:hint="eastAsia" w:ascii="宋体" w:hAnsi="宋体" w:eastAsia="宋体" w:cs="宋体"/>
          <w:i/>
          <w:iCs/>
          <w:u w:val="single"/>
          <w:lang w:eastAsia="zh-CN"/>
        </w:rPr>
        <w:t>交易所选择</w:t>
      </w:r>
    </w:p>
    <w:p>
      <w:pPr>
        <w:spacing w:line="300" w:lineRule="auto"/>
        <w:ind w:firstLine="480" w:firstLineChars="200"/>
        <w:rPr>
          <w:sz w:val="24"/>
        </w:rPr>
      </w:pPr>
      <w:r>
        <w:rPr>
          <w:rFonts w:hint="eastAsia"/>
          <w:sz w:val="24"/>
        </w:rPr>
        <w:t>进入</w:t>
      </w:r>
      <w:r>
        <w:rPr>
          <w:sz w:val="24"/>
        </w:rPr>
        <w:t>账户</w:t>
      </w:r>
      <w:r>
        <w:rPr>
          <w:rFonts w:hint="eastAsia"/>
          <w:sz w:val="24"/>
        </w:rPr>
        <w:t>选择界面</w:t>
      </w:r>
      <w:r>
        <w:rPr>
          <w:sz w:val="24"/>
        </w:rPr>
        <w:t>，</w:t>
      </w:r>
      <w:r>
        <w:rPr>
          <w:rFonts w:hint="eastAsia"/>
          <w:sz w:val="24"/>
        </w:rPr>
        <w:t>开户云系统获取用户的适当性类型，若是</w:t>
      </w:r>
      <w:r>
        <w:rPr>
          <w:sz w:val="24"/>
        </w:rPr>
        <w:t>普通</w:t>
      </w:r>
      <w:r>
        <w:rPr>
          <w:rFonts w:hint="eastAsia"/>
          <w:sz w:val="24"/>
        </w:rPr>
        <w:t>投资者</w:t>
      </w:r>
      <w:r>
        <w:rPr>
          <w:sz w:val="24"/>
        </w:rPr>
        <w:t>，针对风险等级为</w:t>
      </w:r>
      <w:r>
        <w:rPr>
          <w:rFonts w:hint="eastAsia"/>
          <w:sz w:val="24"/>
        </w:rPr>
        <w:t>C1、C2、C3有</w:t>
      </w:r>
      <w:r>
        <w:rPr>
          <w:sz w:val="24"/>
        </w:rPr>
        <w:t>两次告知，</w:t>
      </w:r>
      <w:r>
        <w:rPr>
          <w:rFonts w:hint="eastAsia"/>
          <w:sz w:val="24"/>
        </w:rPr>
        <w:t>C1、C2等级</w:t>
      </w:r>
      <w:r>
        <w:rPr>
          <w:sz w:val="24"/>
        </w:rPr>
        <w:t>第一次告知如</w:t>
      </w:r>
      <w:r>
        <w:rPr>
          <w:rFonts w:hint="eastAsia"/>
          <w:sz w:val="24"/>
        </w:rPr>
        <w:t>图所示</w:t>
      </w:r>
    </w:p>
    <w:p>
      <w:pPr>
        <w:spacing w:line="300" w:lineRule="auto"/>
        <w:jc w:val="center"/>
        <w:rPr>
          <w:sz w:val="24"/>
        </w:rPr>
      </w:pPr>
      <w:r>
        <w:rPr>
          <w:sz w:val="24"/>
        </w:rPr>
        <w:drawing>
          <wp:inline distT="0" distB="0" distL="0" distR="0">
            <wp:extent cx="2838450" cy="4953000"/>
            <wp:effectExtent l="0" t="0" r="0" b="0"/>
            <wp:docPr id="14" name="图片 14" descr="C:\Users\HSPCAD~1\AppData\Local\Temp\WeChat Files\e6367f04a5b143ff2dc10675eb39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HSPCAD~1\AppData\Local\Temp\WeChat Files\e6367f04a5b143ff2dc10675eb3903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38450" cy="4953000"/>
                    </a:xfrm>
                    <a:prstGeom prst="rect">
                      <a:avLst/>
                    </a:prstGeom>
                    <a:noFill/>
                    <a:ln>
                      <a:noFill/>
                    </a:ln>
                  </pic:spPr>
                </pic:pic>
              </a:graphicData>
            </a:graphic>
          </wp:inline>
        </w:drawing>
      </w:r>
    </w:p>
    <w:p>
      <w:pPr>
        <w:pStyle w:val="7"/>
        <w:spacing w:line="300" w:lineRule="auto"/>
        <w:ind w:firstLine="3360" w:firstLineChars="1600"/>
      </w:pPr>
      <w:r>
        <w:rPr>
          <w:rFonts w:hint="eastAsia"/>
        </w:rPr>
        <w:t xml:space="preserve"> C</w:t>
      </w:r>
      <w:bookmarkStart w:id="2" w:name="link17"/>
      <w:bookmarkEnd w:id="2"/>
      <w:r>
        <w:rPr>
          <w:rFonts w:hint="eastAsia"/>
        </w:rPr>
        <w:t>3等级</w:t>
      </w:r>
      <w:r>
        <w:t>第一次告知</w:t>
      </w:r>
    </w:p>
    <w:p>
      <w:pPr>
        <w:pStyle w:val="7"/>
        <w:spacing w:line="300" w:lineRule="auto"/>
        <w:rPr>
          <w:sz w:val="24"/>
          <w:szCs w:val="24"/>
        </w:rPr>
      </w:pPr>
      <w:r>
        <w:rPr>
          <w:rFonts w:hint="eastAsia"/>
          <w:sz w:val="24"/>
          <w:szCs w:val="24"/>
        </w:rPr>
        <w:t>若点击“坚持开立”，弹出第二</w:t>
      </w:r>
      <w:r>
        <w:rPr>
          <w:sz w:val="24"/>
          <w:szCs w:val="24"/>
        </w:rPr>
        <w:t>次告知</w:t>
      </w:r>
      <w:r>
        <w:rPr>
          <w:rFonts w:hint="eastAsia"/>
          <w:sz w:val="24"/>
          <w:szCs w:val="24"/>
        </w:rPr>
        <w:t>如</w:t>
      </w:r>
      <w:r>
        <w:rPr>
          <w:rFonts w:hint="eastAsia"/>
          <w:sz w:val="24"/>
          <w:szCs w:val="24"/>
          <w:lang w:eastAsia="zh-CN"/>
        </w:rPr>
        <w:t>下图</w:t>
      </w:r>
      <w:r>
        <w:rPr>
          <w:rFonts w:hint="eastAsia"/>
          <w:sz w:val="24"/>
          <w:szCs w:val="24"/>
        </w:rPr>
        <w:t>所示，点击“放弃</w:t>
      </w:r>
      <w:r>
        <w:rPr>
          <w:sz w:val="24"/>
          <w:szCs w:val="24"/>
        </w:rPr>
        <w:t>开户</w:t>
      </w:r>
      <w:r>
        <w:rPr>
          <w:rFonts w:hint="eastAsia"/>
          <w:sz w:val="24"/>
          <w:szCs w:val="24"/>
        </w:rPr>
        <w:t>”则</w:t>
      </w:r>
      <w:r>
        <w:rPr>
          <w:sz w:val="24"/>
          <w:szCs w:val="24"/>
        </w:rPr>
        <w:t>直接</w:t>
      </w:r>
      <w:r>
        <w:rPr>
          <w:rFonts w:hint="eastAsia"/>
          <w:sz w:val="24"/>
          <w:szCs w:val="24"/>
        </w:rPr>
        <w:t>退出</w:t>
      </w:r>
      <w:r>
        <w:rPr>
          <w:sz w:val="24"/>
          <w:szCs w:val="24"/>
        </w:rPr>
        <w:t>。</w:t>
      </w:r>
    </w:p>
    <w:p>
      <w:pPr>
        <w:pStyle w:val="7"/>
        <w:spacing w:line="300" w:lineRule="auto"/>
        <w:jc w:val="center"/>
        <w:rPr>
          <w:sz w:val="24"/>
          <w:szCs w:val="24"/>
        </w:rPr>
      </w:pPr>
      <w:r>
        <w:rPr>
          <w:snapToGrid/>
          <w:sz w:val="24"/>
          <w:szCs w:val="24"/>
        </w:rPr>
        <w:drawing>
          <wp:inline distT="0" distB="0" distL="0" distR="0">
            <wp:extent cx="2790825" cy="4914900"/>
            <wp:effectExtent l="0" t="0" r="9525" b="0"/>
            <wp:docPr id="19" name="图片 19" descr="C:\Users\HSPCAD~1\AppData\Local\Temp\WeChat Files\1f85704eacbadd37860a2261b145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HSPCAD~1\AppData\Local\Temp\WeChat Files\1f85704eacbadd37860a2261b1452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90825" cy="4914900"/>
                    </a:xfrm>
                    <a:prstGeom prst="rect">
                      <a:avLst/>
                    </a:prstGeom>
                    <a:noFill/>
                    <a:ln>
                      <a:noFill/>
                    </a:ln>
                  </pic:spPr>
                </pic:pic>
              </a:graphicData>
            </a:graphic>
          </wp:inline>
        </w:drawing>
      </w:r>
    </w:p>
    <w:p>
      <w:pPr>
        <w:pStyle w:val="7"/>
        <w:spacing w:line="300" w:lineRule="auto"/>
        <w:ind w:firstLine="2940" w:firstLineChars="1400"/>
      </w:pPr>
      <w:r>
        <w:rPr>
          <w:rFonts w:hint="eastAsia"/>
        </w:rPr>
        <w:t>C1、C2</w:t>
      </w:r>
      <w:bookmarkStart w:id="3" w:name="link18"/>
      <w:bookmarkEnd w:id="3"/>
      <w:r>
        <w:rPr>
          <w:rFonts w:hint="eastAsia"/>
        </w:rPr>
        <w:t>等级</w:t>
      </w:r>
      <w:r>
        <w:t>第</w:t>
      </w:r>
      <w:r>
        <w:rPr>
          <w:rFonts w:hint="eastAsia"/>
        </w:rPr>
        <w:t>二</w:t>
      </w:r>
      <w:r>
        <w:t>次告知</w:t>
      </w:r>
    </w:p>
    <w:p>
      <w:pPr>
        <w:pStyle w:val="7"/>
        <w:spacing w:line="300" w:lineRule="auto"/>
      </w:pPr>
    </w:p>
    <w:p>
      <w:pPr>
        <w:pStyle w:val="7"/>
        <w:spacing w:line="300" w:lineRule="auto"/>
        <w:ind w:firstLine="480" w:firstLineChars="200"/>
        <w:rPr>
          <w:sz w:val="24"/>
          <w:szCs w:val="24"/>
        </w:rPr>
      </w:pPr>
      <w:r>
        <w:rPr>
          <w:rFonts w:hint="eastAsia"/>
          <w:sz w:val="24"/>
          <w:szCs w:val="24"/>
        </w:rPr>
        <w:t>若点击“坚持开立”，关闭</w:t>
      </w:r>
      <w:r>
        <w:rPr>
          <w:sz w:val="24"/>
          <w:szCs w:val="24"/>
        </w:rPr>
        <w:t>提示</w:t>
      </w:r>
      <w:r>
        <w:rPr>
          <w:rFonts w:hint="eastAsia"/>
          <w:sz w:val="24"/>
          <w:szCs w:val="24"/>
        </w:rPr>
        <w:t>，回到账户</w:t>
      </w:r>
      <w:r>
        <w:rPr>
          <w:sz w:val="24"/>
          <w:szCs w:val="24"/>
        </w:rPr>
        <w:t>选择</w:t>
      </w:r>
      <w:r>
        <w:rPr>
          <w:rFonts w:hint="eastAsia"/>
          <w:sz w:val="24"/>
          <w:szCs w:val="24"/>
        </w:rPr>
        <w:t>页面，在账户选择页面，展示出客户在本期货公司已开通的交易所信息并做置灰处理，对已开通的交易所不允许客户对其进行修改。</w:t>
      </w:r>
    </w:p>
    <w:p>
      <w:pPr>
        <w:pStyle w:val="7"/>
        <w:spacing w:line="300" w:lineRule="auto"/>
        <w:ind w:firstLine="480" w:firstLineChars="200"/>
        <w:rPr>
          <w:sz w:val="24"/>
          <w:szCs w:val="24"/>
        </w:rPr>
      </w:pPr>
      <w:r>
        <w:rPr>
          <w:rFonts w:hint="eastAsia"/>
          <w:sz w:val="24"/>
          <w:szCs w:val="24"/>
        </w:rPr>
        <w:t>说明：风险测评等级为C1、C2且选择开立金融/原油期货账户的客户，若坚持开户，可能存在期货公司后台审核不通过的情况</w:t>
      </w:r>
    </w:p>
    <w:p>
      <w:pPr>
        <w:pStyle w:val="7"/>
        <w:spacing w:line="300" w:lineRule="auto"/>
        <w:ind w:firstLine="480" w:firstLineChars="200"/>
        <w:rPr>
          <w:sz w:val="24"/>
          <w:szCs w:val="24"/>
        </w:rPr>
      </w:pPr>
      <w:r>
        <w:rPr>
          <w:rFonts w:hint="eastAsia"/>
          <w:sz w:val="24"/>
          <w:szCs w:val="24"/>
        </w:rPr>
        <w:t>增开交易编码或</w:t>
      </w:r>
      <w:r>
        <w:rPr>
          <w:sz w:val="24"/>
          <w:szCs w:val="24"/>
        </w:rPr>
        <w:t>之前开过的金融</w:t>
      </w:r>
      <w:r>
        <w:rPr>
          <w:rFonts w:hint="eastAsia"/>
          <w:sz w:val="24"/>
          <w:szCs w:val="24"/>
        </w:rPr>
        <w:t>/原油</w:t>
      </w:r>
      <w:r>
        <w:rPr>
          <w:sz w:val="24"/>
          <w:szCs w:val="24"/>
        </w:rPr>
        <w:t>户的</w:t>
      </w:r>
      <w:r>
        <w:rPr>
          <w:rFonts w:hint="eastAsia"/>
          <w:sz w:val="24"/>
          <w:szCs w:val="24"/>
        </w:rPr>
        <w:t>用户</w:t>
      </w:r>
      <w:r>
        <w:rPr>
          <w:sz w:val="24"/>
          <w:szCs w:val="24"/>
        </w:rPr>
        <w:t>，</w:t>
      </w:r>
      <w:r>
        <w:rPr>
          <w:rFonts w:hint="eastAsia"/>
          <w:sz w:val="24"/>
          <w:szCs w:val="24"/>
        </w:rPr>
        <w:t>可选择的期货市场包括：上海期货交易所、大连商品交易所、郑州商品交易所、中国金融交易所、上海国际能源交易中心。</w:t>
      </w:r>
      <w:r>
        <w:rPr>
          <w:sz w:val="24"/>
          <w:szCs w:val="24"/>
        </w:rPr>
        <w:t>如</w:t>
      </w:r>
      <w:r>
        <w:rPr>
          <w:rFonts w:hint="eastAsia"/>
          <w:sz w:val="24"/>
          <w:szCs w:val="24"/>
          <w:lang w:eastAsia="zh-CN"/>
        </w:rPr>
        <w:t>下图</w:t>
      </w:r>
      <w:r>
        <w:rPr>
          <w:rFonts w:hint="eastAsia"/>
          <w:sz w:val="24"/>
          <w:szCs w:val="24"/>
        </w:rPr>
        <w:t>所示</w:t>
      </w:r>
    </w:p>
    <w:p>
      <w:pPr>
        <w:pStyle w:val="7"/>
        <w:spacing w:line="300" w:lineRule="auto"/>
        <w:jc w:val="center"/>
        <w:rPr>
          <w:snapToGrid/>
          <w:sz w:val="24"/>
          <w:szCs w:val="24"/>
        </w:rPr>
      </w:pPr>
      <w:r>
        <w:rPr>
          <w:snapToGrid/>
          <w:sz w:val="24"/>
          <w:szCs w:val="24"/>
        </w:rPr>
        <w:drawing>
          <wp:inline distT="0" distB="0" distL="0" distR="0">
            <wp:extent cx="2946400" cy="5238750"/>
            <wp:effectExtent l="0" t="0" r="6350" b="0"/>
            <wp:docPr id="1" name="图片 1" descr="C:\Users\HSPCAD~1\AppData\Local\Temp\WeChat Files\71307455ecd320ae8e911c2fc1f85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SPCAD~1\AppData\Local\Temp\WeChat Files\71307455ecd320ae8e911c2fc1f85d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48039" cy="5240959"/>
                    </a:xfrm>
                    <a:prstGeom prst="rect">
                      <a:avLst/>
                    </a:prstGeom>
                    <a:noFill/>
                    <a:ln>
                      <a:noFill/>
                    </a:ln>
                  </pic:spPr>
                </pic:pic>
              </a:graphicData>
            </a:graphic>
          </wp:inline>
        </w:drawing>
      </w:r>
    </w:p>
    <w:p>
      <w:pPr>
        <w:pStyle w:val="7"/>
        <w:spacing w:line="300" w:lineRule="auto"/>
        <w:jc w:val="center"/>
        <w:rPr>
          <w:sz w:val="24"/>
          <w:szCs w:val="24"/>
        </w:rPr>
      </w:pPr>
      <w:r>
        <w:rPr>
          <w:rFonts w:hint="eastAsia"/>
          <w:sz w:val="24"/>
          <w:szCs w:val="24"/>
        </w:rPr>
        <w:t>账户选择</w:t>
      </w:r>
    </w:p>
    <w:p>
      <w:pPr>
        <w:pStyle w:val="7"/>
        <w:spacing w:line="300" w:lineRule="auto"/>
        <w:ind w:firstLine="480" w:firstLineChars="200"/>
        <w:rPr>
          <w:sz w:val="24"/>
          <w:szCs w:val="24"/>
        </w:rPr>
      </w:pPr>
      <w:r>
        <w:rPr>
          <w:rFonts w:hint="eastAsia"/>
          <w:sz w:val="24"/>
          <w:szCs w:val="24"/>
        </w:rPr>
        <w:t>若客户第一次开通金融或者原油户，则需上传至少两张到十张的成绩报告单，若无成绩报告单可点击“在线测试入口”进入即可，</w:t>
      </w:r>
      <w:r>
        <w:rPr>
          <w:sz w:val="24"/>
          <w:szCs w:val="24"/>
        </w:rPr>
        <w:t>如</w:t>
      </w:r>
      <w:r>
        <w:rPr>
          <w:rFonts w:hint="eastAsia"/>
          <w:sz w:val="24"/>
          <w:szCs w:val="24"/>
          <w:lang w:eastAsia="zh-CN"/>
        </w:rPr>
        <w:t>下图</w:t>
      </w:r>
      <w:r>
        <w:rPr>
          <w:rFonts w:hint="eastAsia"/>
          <w:sz w:val="24"/>
          <w:szCs w:val="24"/>
        </w:rPr>
        <w:t>所示</w:t>
      </w:r>
    </w:p>
    <w:p>
      <w:pPr>
        <w:pStyle w:val="7"/>
        <w:spacing w:line="300" w:lineRule="auto"/>
        <w:jc w:val="center"/>
        <w:rPr>
          <w:sz w:val="24"/>
          <w:szCs w:val="24"/>
        </w:rPr>
      </w:pPr>
      <w:r>
        <w:rPr>
          <w:snapToGrid/>
          <w:sz w:val="24"/>
          <w:szCs w:val="24"/>
        </w:rPr>
        <w:drawing>
          <wp:inline distT="0" distB="0" distL="0" distR="0">
            <wp:extent cx="3042920" cy="5410200"/>
            <wp:effectExtent l="0" t="0" r="5080" b="0"/>
            <wp:docPr id="2" name="图片 2" descr="C:\Users\HSPCAD~1\AppData\Local\Temp\WeChat Files\f3164f4b233122b9e654507a458c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SPCAD~1\AppData\Local\Temp\WeChat Files\f3164f4b233122b9e654507a458c94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48013" cy="5418689"/>
                    </a:xfrm>
                    <a:prstGeom prst="rect">
                      <a:avLst/>
                    </a:prstGeom>
                    <a:noFill/>
                    <a:ln>
                      <a:noFill/>
                    </a:ln>
                  </pic:spPr>
                </pic:pic>
              </a:graphicData>
            </a:graphic>
          </wp:inline>
        </w:drawing>
      </w:r>
    </w:p>
    <w:p>
      <w:pPr>
        <w:pStyle w:val="7"/>
        <w:spacing w:line="300" w:lineRule="auto"/>
        <w:jc w:val="center"/>
        <w:rPr>
          <w:sz w:val="24"/>
          <w:szCs w:val="24"/>
        </w:rPr>
      </w:pPr>
      <w:r>
        <w:rPr>
          <w:rFonts w:hint="eastAsia"/>
        </w:rPr>
        <w:t>金融/原油户成绩单上传</w:t>
      </w:r>
    </w:p>
    <w:p>
      <w:pPr>
        <w:pStyle w:val="7"/>
        <w:spacing w:line="300" w:lineRule="auto"/>
        <w:rPr>
          <w:sz w:val="24"/>
          <w:szCs w:val="24"/>
        </w:rPr>
      </w:pPr>
    </w:p>
    <w:p>
      <w:pPr>
        <w:pStyle w:val="7"/>
        <w:spacing w:line="300" w:lineRule="auto"/>
        <w:rPr>
          <w:sz w:val="24"/>
          <w:szCs w:val="24"/>
        </w:rPr>
      </w:pPr>
      <w:r>
        <w:rPr>
          <w:rFonts w:hint="eastAsia"/>
          <w:sz w:val="24"/>
          <w:szCs w:val="24"/>
        </w:rPr>
        <w:t>其中上海期货交易所、大连商品交易所、郑州商品交易所属于商品户。C3等级且选择金融或原油期货时弹窗两次告知提示，</w:t>
      </w:r>
      <w:r>
        <w:rPr>
          <w:sz w:val="24"/>
          <w:szCs w:val="24"/>
        </w:rPr>
        <w:t>第一次告知如</w:t>
      </w:r>
      <w:r>
        <w:rPr>
          <w:rFonts w:hint="eastAsia"/>
          <w:lang w:eastAsia="zh-CN"/>
        </w:rPr>
        <w:t>下图</w:t>
      </w:r>
      <w:r>
        <w:rPr>
          <w:rFonts w:hint="eastAsia"/>
          <w:sz w:val="24"/>
          <w:szCs w:val="24"/>
        </w:rPr>
        <w:t>所示：</w:t>
      </w:r>
    </w:p>
    <w:p>
      <w:pPr>
        <w:pStyle w:val="7"/>
        <w:spacing w:line="300" w:lineRule="auto"/>
        <w:rPr>
          <w:sz w:val="24"/>
          <w:szCs w:val="24"/>
        </w:rPr>
      </w:pPr>
    </w:p>
    <w:p>
      <w:pPr>
        <w:pStyle w:val="7"/>
        <w:spacing w:line="300" w:lineRule="auto"/>
        <w:jc w:val="center"/>
        <w:rPr>
          <w:sz w:val="24"/>
          <w:szCs w:val="24"/>
        </w:rPr>
      </w:pPr>
      <w:r>
        <w:rPr>
          <w:snapToGrid/>
          <w:sz w:val="24"/>
          <w:szCs w:val="24"/>
        </w:rPr>
        <w:drawing>
          <wp:inline distT="0" distB="0" distL="0" distR="0">
            <wp:extent cx="3198495" cy="5686425"/>
            <wp:effectExtent l="0" t="0" r="1905" b="9525"/>
            <wp:docPr id="15" name="图片 15" descr="C:\Users\HSPCAD~1\AppData\Local\Temp\WeChat Files\8a51b48b323bc9f97b2971eb04698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HSPCAD~1\AppData\Local\Temp\WeChat Files\8a51b48b323bc9f97b2971eb046983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99963" cy="5688822"/>
                    </a:xfrm>
                    <a:prstGeom prst="rect">
                      <a:avLst/>
                    </a:prstGeom>
                    <a:noFill/>
                    <a:ln>
                      <a:noFill/>
                    </a:ln>
                  </pic:spPr>
                </pic:pic>
              </a:graphicData>
            </a:graphic>
          </wp:inline>
        </w:drawing>
      </w:r>
    </w:p>
    <w:p>
      <w:pPr>
        <w:pStyle w:val="7"/>
        <w:spacing w:line="300" w:lineRule="auto"/>
        <w:jc w:val="center"/>
        <w:rPr>
          <w:sz w:val="24"/>
          <w:szCs w:val="24"/>
        </w:rPr>
      </w:pPr>
      <w:r>
        <w:rPr>
          <w:rFonts w:hint="eastAsia"/>
        </w:rPr>
        <w:t>C3</w:t>
      </w:r>
      <w:bookmarkStart w:id="4" w:name="link20"/>
      <w:bookmarkEnd w:id="4"/>
      <w:r>
        <w:rPr>
          <w:rFonts w:hint="eastAsia"/>
        </w:rPr>
        <w:t>等级</w:t>
      </w:r>
      <w:r>
        <w:t>第</w:t>
      </w:r>
      <w:r>
        <w:rPr>
          <w:rFonts w:hint="eastAsia"/>
        </w:rPr>
        <w:t>一</w:t>
      </w:r>
      <w:r>
        <w:t>次告知</w:t>
      </w:r>
    </w:p>
    <w:p>
      <w:pPr>
        <w:pStyle w:val="7"/>
        <w:spacing w:line="300" w:lineRule="auto"/>
        <w:rPr>
          <w:sz w:val="24"/>
          <w:szCs w:val="24"/>
        </w:rPr>
      </w:pPr>
    </w:p>
    <w:p>
      <w:pPr>
        <w:pStyle w:val="7"/>
        <w:spacing w:line="300" w:lineRule="auto"/>
        <w:rPr>
          <w:sz w:val="24"/>
          <w:szCs w:val="24"/>
        </w:rPr>
      </w:pPr>
      <w:r>
        <w:rPr>
          <w:rFonts w:hint="eastAsia"/>
          <w:sz w:val="24"/>
          <w:szCs w:val="24"/>
        </w:rPr>
        <w:t>若点击“坚持开立交易编码”，弹出第二</w:t>
      </w:r>
      <w:r>
        <w:rPr>
          <w:sz w:val="24"/>
          <w:szCs w:val="24"/>
        </w:rPr>
        <w:t>次告知</w:t>
      </w:r>
      <w:r>
        <w:rPr>
          <w:rFonts w:hint="eastAsia"/>
          <w:sz w:val="24"/>
          <w:szCs w:val="24"/>
        </w:rPr>
        <w:t>如</w:t>
      </w:r>
      <w:r>
        <w:rPr>
          <w:rFonts w:hint="eastAsia"/>
          <w:sz w:val="24"/>
          <w:szCs w:val="24"/>
          <w:lang w:eastAsia="zh-CN"/>
        </w:rPr>
        <w:t>下图</w:t>
      </w:r>
      <w:r>
        <w:rPr>
          <w:rFonts w:hint="eastAsia"/>
          <w:sz w:val="24"/>
          <w:szCs w:val="24"/>
        </w:rPr>
        <w:t>所示，点击“重新选择交易所”则关闭弹窗重新选择交易所</w:t>
      </w:r>
      <w:r>
        <w:rPr>
          <w:sz w:val="24"/>
          <w:szCs w:val="24"/>
        </w:rPr>
        <w:t>。</w:t>
      </w:r>
    </w:p>
    <w:p>
      <w:pPr>
        <w:pStyle w:val="7"/>
        <w:spacing w:line="300" w:lineRule="auto"/>
        <w:jc w:val="center"/>
        <w:rPr>
          <w:sz w:val="24"/>
          <w:szCs w:val="24"/>
        </w:rPr>
      </w:pPr>
      <w:r>
        <w:rPr>
          <w:snapToGrid/>
          <w:sz w:val="24"/>
          <w:szCs w:val="24"/>
        </w:rPr>
        <w:drawing>
          <wp:inline distT="0" distB="0" distL="0" distR="0">
            <wp:extent cx="3423285" cy="6086475"/>
            <wp:effectExtent l="0" t="0" r="5715" b="9525"/>
            <wp:docPr id="16" name="图片 16" descr="C:\Users\HSPCAD~1\AppData\Local\Temp\WeChat Files\18a4fdcc8f32e33fd76002d454f1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HSPCAD~1\AppData\Local\Temp\WeChat Files\18a4fdcc8f32e33fd76002d454f10e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425086" cy="6089041"/>
                    </a:xfrm>
                    <a:prstGeom prst="rect">
                      <a:avLst/>
                    </a:prstGeom>
                    <a:noFill/>
                    <a:ln>
                      <a:noFill/>
                    </a:ln>
                  </pic:spPr>
                </pic:pic>
              </a:graphicData>
            </a:graphic>
          </wp:inline>
        </w:drawing>
      </w:r>
    </w:p>
    <w:p>
      <w:pPr>
        <w:pStyle w:val="7"/>
        <w:spacing w:line="300" w:lineRule="auto"/>
        <w:jc w:val="center"/>
      </w:pPr>
      <w:r>
        <w:rPr>
          <w:rFonts w:hint="eastAsia"/>
        </w:rPr>
        <w:t>C3</w:t>
      </w:r>
      <w:bookmarkStart w:id="5" w:name="link21"/>
      <w:bookmarkEnd w:id="5"/>
      <w:r>
        <w:rPr>
          <w:rFonts w:hint="eastAsia"/>
        </w:rPr>
        <w:t>等级</w:t>
      </w:r>
      <w:r>
        <w:t>第</w:t>
      </w:r>
      <w:r>
        <w:rPr>
          <w:rFonts w:hint="eastAsia"/>
        </w:rPr>
        <w:t>二</w:t>
      </w:r>
      <w:r>
        <w:t>次告知</w:t>
      </w:r>
    </w:p>
    <w:p>
      <w:pPr>
        <w:pStyle w:val="7"/>
        <w:spacing w:line="300" w:lineRule="auto"/>
        <w:rPr>
          <w:sz w:val="24"/>
          <w:szCs w:val="24"/>
        </w:rPr>
      </w:pPr>
      <w:r>
        <w:rPr>
          <w:rFonts w:hint="eastAsia"/>
          <w:sz w:val="24"/>
          <w:szCs w:val="24"/>
        </w:rPr>
        <w:t>若点击“坚持开立交易编码”，则跳转到阅读协议页面。</w:t>
      </w:r>
    </w:p>
    <w:p>
      <w:pPr>
        <w:pStyle w:val="7"/>
        <w:spacing w:line="300" w:lineRule="auto"/>
        <w:rPr>
          <w:sz w:val="24"/>
          <w:szCs w:val="24"/>
        </w:rPr>
      </w:pPr>
    </w:p>
    <w:p>
      <w:pPr>
        <w:pStyle w:val="7"/>
        <w:spacing w:line="300" w:lineRule="auto"/>
        <w:rPr>
          <w:sz w:val="24"/>
          <w:szCs w:val="24"/>
        </w:rPr>
      </w:pPr>
    </w:p>
    <w:p>
      <w:pPr>
        <w:pStyle w:val="7"/>
        <w:spacing w:line="300" w:lineRule="auto"/>
        <w:rPr>
          <w:sz w:val="24"/>
          <w:szCs w:val="24"/>
        </w:rPr>
      </w:pPr>
    </w:p>
    <w:p>
      <w:pPr>
        <w:pStyle w:val="7"/>
        <w:spacing w:line="300" w:lineRule="auto"/>
        <w:rPr>
          <w:sz w:val="24"/>
          <w:szCs w:val="24"/>
        </w:rPr>
      </w:pPr>
    </w:p>
    <w:p>
      <w:pPr>
        <w:pStyle w:val="7"/>
        <w:spacing w:line="300" w:lineRule="auto"/>
        <w:rPr>
          <w:sz w:val="24"/>
          <w:szCs w:val="24"/>
        </w:rPr>
      </w:pPr>
    </w:p>
    <w:p>
      <w:pPr>
        <w:pStyle w:val="7"/>
        <w:spacing w:line="300" w:lineRule="auto"/>
        <w:rPr>
          <w:sz w:val="24"/>
          <w:szCs w:val="24"/>
        </w:rPr>
      </w:pPr>
    </w:p>
    <w:p>
      <w:pPr>
        <w:pStyle w:val="7"/>
        <w:spacing w:line="300" w:lineRule="auto"/>
        <w:rPr>
          <w:sz w:val="24"/>
          <w:szCs w:val="24"/>
        </w:rPr>
      </w:pPr>
    </w:p>
    <w:p>
      <w:pPr>
        <w:pStyle w:val="7"/>
        <w:spacing w:line="300" w:lineRule="auto"/>
        <w:rPr>
          <w:sz w:val="24"/>
          <w:szCs w:val="24"/>
        </w:rPr>
      </w:pPr>
    </w:p>
    <w:p>
      <w:pPr>
        <w:pStyle w:val="4"/>
        <w:spacing w:line="300" w:lineRule="auto"/>
        <w:jc w:val="center"/>
        <w:rPr>
          <w:i/>
          <w:iCs/>
          <w:sz w:val="36"/>
          <w:szCs w:val="36"/>
          <w:u w:val="single"/>
        </w:rPr>
      </w:pPr>
      <w:r>
        <w:rPr>
          <w:rFonts w:hint="eastAsia"/>
          <w:i/>
          <w:iCs/>
          <w:sz w:val="36"/>
          <w:szCs w:val="36"/>
          <w:u w:val="single"/>
          <w:lang w:val="en-US" w:eastAsia="zh-CN"/>
        </w:rPr>
        <w:t>Step5.</w:t>
      </w:r>
      <w:r>
        <w:rPr>
          <w:rFonts w:hint="eastAsia"/>
          <w:i/>
          <w:iCs/>
          <w:sz w:val="36"/>
          <w:szCs w:val="36"/>
          <w:u w:val="single"/>
        </w:rPr>
        <w:t>阅读相关协议</w:t>
      </w:r>
    </w:p>
    <w:p>
      <w:pPr>
        <w:pStyle w:val="7"/>
        <w:spacing w:line="300" w:lineRule="auto"/>
        <w:rPr>
          <w:sz w:val="24"/>
          <w:szCs w:val="24"/>
        </w:rPr>
      </w:pPr>
      <w:r>
        <w:rPr>
          <w:rFonts w:hint="eastAsia"/>
          <w:sz w:val="24"/>
          <w:szCs w:val="24"/>
        </w:rPr>
        <w:t>用户进入的界面是阅读相关协议，界面如</w:t>
      </w:r>
      <w:r>
        <w:rPr>
          <w:rFonts w:hint="eastAsia"/>
          <w:sz w:val="24"/>
          <w:szCs w:val="24"/>
          <w:lang w:eastAsia="zh-CN"/>
        </w:rPr>
        <w:t>图</w:t>
      </w:r>
      <w:r>
        <w:rPr>
          <w:rFonts w:hint="eastAsia"/>
          <w:sz w:val="24"/>
          <w:szCs w:val="24"/>
        </w:rPr>
        <w:t>所示。</w:t>
      </w:r>
    </w:p>
    <w:p>
      <w:pPr>
        <w:pStyle w:val="7"/>
        <w:spacing w:line="300" w:lineRule="auto"/>
        <w:jc w:val="center"/>
      </w:pPr>
      <w:r>
        <w:rPr>
          <w:snapToGrid/>
        </w:rPr>
        <w:drawing>
          <wp:inline distT="0" distB="0" distL="0" distR="0">
            <wp:extent cx="2800350" cy="4933950"/>
            <wp:effectExtent l="0" t="0" r="0" b="0"/>
            <wp:docPr id="3" name="图片 3" descr="C:\Users\HSPCAD~1\AppData\Local\Temp\WeChat Files\3c27488448ad68b8b2770cbaeeeca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SPCAD~1\AppData\Local\Temp\WeChat Files\3c27488448ad68b8b2770cbaeeeca1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800350" cy="4933950"/>
                    </a:xfrm>
                    <a:prstGeom prst="rect">
                      <a:avLst/>
                    </a:prstGeom>
                    <a:noFill/>
                    <a:ln>
                      <a:noFill/>
                    </a:ln>
                  </pic:spPr>
                </pic:pic>
              </a:graphicData>
            </a:graphic>
          </wp:inline>
        </w:drawing>
      </w:r>
    </w:p>
    <w:p>
      <w:pPr>
        <w:pStyle w:val="7"/>
        <w:spacing w:line="300" w:lineRule="auto"/>
        <w:jc w:val="center"/>
      </w:pPr>
      <w:r>
        <w:rPr>
          <w:rFonts w:hint="eastAsia"/>
        </w:rPr>
        <w:t>阅</w:t>
      </w:r>
      <w:bookmarkStart w:id="6" w:name="link5"/>
      <w:bookmarkEnd w:id="6"/>
      <w:r>
        <w:rPr>
          <w:rFonts w:hint="eastAsia"/>
        </w:rPr>
        <w:t>读相关协议</w:t>
      </w:r>
    </w:p>
    <w:p>
      <w:pPr>
        <w:pStyle w:val="7"/>
        <w:spacing w:line="300" w:lineRule="auto"/>
      </w:pPr>
      <w:r>
        <w:rPr>
          <w:rFonts w:hint="eastAsia"/>
          <w:sz w:val="24"/>
          <w:szCs w:val="24"/>
        </w:rPr>
        <w:t>阅读完并同意协议的内容后，点击“下一步”进入到视频见证页面。</w:t>
      </w:r>
    </w:p>
    <w:p>
      <w:pPr>
        <w:tabs>
          <w:tab w:val="left" w:pos="1620"/>
        </w:tabs>
        <w:spacing w:line="300" w:lineRule="auto"/>
        <w:jc w:val="center"/>
        <w:rPr>
          <w:rFonts w:hint="eastAsia" w:ascii="宋体" w:hAnsi="宋体" w:eastAsia="宋体" w:cs="宋体"/>
          <w:b/>
          <w:bCs w:val="0"/>
          <w:i/>
          <w:iCs/>
          <w:sz w:val="36"/>
          <w:szCs w:val="36"/>
          <w:u w:val="single"/>
        </w:rPr>
      </w:pPr>
      <w:bookmarkStart w:id="7" w:name="_Toc8049307"/>
      <w:bookmarkStart w:id="8" w:name="_Toc10090"/>
      <w:r>
        <w:rPr>
          <w:rFonts w:hint="eastAsia" w:ascii="宋体" w:hAnsi="宋体" w:eastAsia="宋体" w:cs="宋体"/>
          <w:b/>
          <w:bCs w:val="0"/>
          <w:i/>
          <w:iCs/>
          <w:sz w:val="36"/>
          <w:szCs w:val="36"/>
          <w:u w:val="single"/>
          <w:lang w:val="en-US" w:eastAsia="zh-CN"/>
        </w:rPr>
        <w:t>Step6.</w:t>
      </w:r>
      <w:r>
        <w:rPr>
          <w:rFonts w:hint="eastAsia" w:ascii="宋体" w:hAnsi="宋体" w:eastAsia="宋体" w:cs="宋体"/>
          <w:b/>
          <w:bCs w:val="0"/>
          <w:i/>
          <w:iCs/>
          <w:sz w:val="36"/>
          <w:szCs w:val="36"/>
          <w:u w:val="single"/>
        </w:rPr>
        <w:t>视频验证</w:t>
      </w:r>
      <w:bookmarkEnd w:id="7"/>
      <w:bookmarkEnd w:id="8"/>
    </w:p>
    <w:p>
      <w:pPr>
        <w:pStyle w:val="7"/>
        <w:spacing w:line="300" w:lineRule="auto"/>
        <w:ind w:firstLine="480" w:firstLineChars="200"/>
        <w:rPr>
          <w:sz w:val="24"/>
          <w:szCs w:val="24"/>
        </w:rPr>
      </w:pPr>
      <w:r>
        <w:rPr>
          <w:rFonts w:hint="eastAsia"/>
          <w:sz w:val="24"/>
          <w:szCs w:val="24"/>
        </w:rPr>
        <w:t>视频验证页面是开户人员手持本人身份证与期货公司的认证人进行视频实名认证。视频认证界面如</w:t>
      </w:r>
      <w:r>
        <w:fldChar w:fldCharType="begin"/>
      </w:r>
      <w:r>
        <w:instrText xml:space="preserve"> HYPERLINK \l "link24" </w:instrText>
      </w:r>
      <w:r>
        <w:fldChar w:fldCharType="separate"/>
      </w:r>
      <w:r>
        <w:rPr>
          <w:rFonts w:hint="eastAsia"/>
        </w:rPr>
        <w:t>图</w:t>
      </w:r>
      <w:r>
        <w:rPr>
          <w:rFonts w:hint="eastAsia"/>
        </w:rPr>
        <w:fldChar w:fldCharType="end"/>
      </w:r>
      <w:r>
        <w:rPr>
          <w:rFonts w:hint="eastAsia"/>
          <w:sz w:val="24"/>
          <w:szCs w:val="24"/>
        </w:rPr>
        <w:t>所示。</w:t>
      </w:r>
    </w:p>
    <w:p>
      <w:pPr>
        <w:tabs>
          <w:tab w:val="left" w:pos="1620"/>
        </w:tabs>
        <w:spacing w:line="300" w:lineRule="auto"/>
        <w:jc w:val="center"/>
        <w:rPr>
          <w:b/>
          <w:sz w:val="22"/>
        </w:rPr>
      </w:pPr>
      <w:r>
        <w:drawing>
          <wp:inline distT="0" distB="0" distL="114300" distR="114300">
            <wp:extent cx="2799715" cy="4895215"/>
            <wp:effectExtent l="0" t="0" r="635" b="63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8"/>
                    <a:stretch>
                      <a:fillRect/>
                    </a:stretch>
                  </pic:blipFill>
                  <pic:spPr>
                    <a:xfrm>
                      <a:off x="0" y="0"/>
                      <a:ext cx="2799715" cy="4895215"/>
                    </a:xfrm>
                    <a:prstGeom prst="rect">
                      <a:avLst/>
                    </a:prstGeom>
                    <a:noFill/>
                    <a:ln w="9525">
                      <a:noFill/>
                    </a:ln>
                  </pic:spPr>
                </pic:pic>
              </a:graphicData>
            </a:graphic>
          </wp:inline>
        </w:drawing>
      </w:r>
    </w:p>
    <w:p>
      <w:pPr>
        <w:pStyle w:val="7"/>
        <w:spacing w:line="300" w:lineRule="auto"/>
        <w:jc w:val="center"/>
      </w:pPr>
      <w:bookmarkStart w:id="9" w:name="link24"/>
      <w:bookmarkEnd w:id="9"/>
      <w:r>
        <w:rPr>
          <w:rFonts w:hint="eastAsia"/>
        </w:rPr>
        <w:t>视频认证</w:t>
      </w:r>
    </w:p>
    <w:p>
      <w:pPr>
        <w:pStyle w:val="7"/>
        <w:spacing w:line="300" w:lineRule="auto"/>
        <w:rPr>
          <w:sz w:val="24"/>
          <w:szCs w:val="24"/>
        </w:rPr>
      </w:pPr>
      <w:r>
        <w:rPr>
          <w:rFonts w:hint="eastAsia"/>
          <w:sz w:val="24"/>
          <w:szCs w:val="24"/>
        </w:rPr>
        <w:t>客户点击“开始视频通话”，会出现一个排队页面，，此页面显示的人数是当前营业部所有用户的数量，包括本人。视频排队界面如</w:t>
      </w:r>
      <w:r>
        <w:fldChar w:fldCharType="begin"/>
      </w:r>
      <w:r>
        <w:instrText xml:space="preserve"> HYPERLINK \l "link25" </w:instrText>
      </w:r>
      <w:r>
        <w:fldChar w:fldCharType="separate"/>
      </w:r>
      <w:r>
        <w:rPr>
          <w:rFonts w:hint="eastAsia"/>
        </w:rPr>
        <w:t>图</w:t>
      </w:r>
      <w:r>
        <w:rPr>
          <w:rFonts w:hint="eastAsia"/>
        </w:rPr>
        <w:fldChar w:fldCharType="end"/>
      </w:r>
      <w:r>
        <w:rPr>
          <w:rFonts w:hint="eastAsia"/>
          <w:sz w:val="24"/>
          <w:szCs w:val="24"/>
        </w:rPr>
        <w:t>所示。</w:t>
      </w:r>
    </w:p>
    <w:p>
      <w:pPr>
        <w:pStyle w:val="7"/>
        <w:spacing w:line="300" w:lineRule="auto"/>
        <w:jc w:val="center"/>
        <w:rPr>
          <w:sz w:val="24"/>
          <w:szCs w:val="24"/>
        </w:rPr>
      </w:pPr>
      <w:r>
        <w:rPr>
          <w:snapToGrid/>
          <w:sz w:val="24"/>
          <w:szCs w:val="24"/>
        </w:rPr>
        <w:drawing>
          <wp:inline distT="0" distB="0" distL="0" distR="0">
            <wp:extent cx="3310890" cy="5886450"/>
            <wp:effectExtent l="0" t="0" r="3810" b="0"/>
            <wp:docPr id="26" name="图片 26" descr="C:\Users\HSPCAD~1\AppData\Local\Temp\WeChat Files\4a6de03b2f4e3c61db701afb2ecf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HSPCAD~1\AppData\Local\Temp\WeChat Files\4a6de03b2f4e3c61db701afb2ecf46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12524" cy="5888931"/>
                    </a:xfrm>
                    <a:prstGeom prst="rect">
                      <a:avLst/>
                    </a:prstGeom>
                    <a:noFill/>
                    <a:ln>
                      <a:noFill/>
                    </a:ln>
                  </pic:spPr>
                </pic:pic>
              </a:graphicData>
            </a:graphic>
          </wp:inline>
        </w:drawing>
      </w:r>
    </w:p>
    <w:p>
      <w:pPr>
        <w:pStyle w:val="7"/>
        <w:spacing w:line="300" w:lineRule="auto"/>
        <w:ind w:firstLine="3780" w:firstLineChars="1800"/>
      </w:pPr>
      <w:r>
        <w:rPr>
          <w:rFonts w:hint="eastAsia"/>
        </w:rPr>
        <w:t>视频</w:t>
      </w:r>
      <w:bookmarkStart w:id="10" w:name="link25"/>
      <w:bookmarkEnd w:id="10"/>
      <w:r>
        <w:rPr>
          <w:rFonts w:hint="eastAsia"/>
        </w:rPr>
        <w:t>排队</w:t>
      </w:r>
    </w:p>
    <w:p>
      <w:pPr>
        <w:pStyle w:val="7"/>
        <w:spacing w:line="300" w:lineRule="auto"/>
        <w:ind w:firstLine="480" w:firstLineChars="200"/>
      </w:pPr>
      <w:r>
        <w:rPr>
          <w:rFonts w:hint="eastAsia"/>
          <w:sz w:val="24"/>
          <w:szCs w:val="24"/>
        </w:rPr>
        <w:t>期货公司认证人员接通视频后，与客户核对所填的基本信息，并采集客户的视频和照片，同时也会询问客户是否知晓相关的开户知识。</w:t>
      </w:r>
    </w:p>
    <w:p>
      <w:pPr>
        <w:pStyle w:val="7"/>
        <w:spacing w:line="300" w:lineRule="auto"/>
        <w:ind w:firstLine="420"/>
        <w:rPr>
          <w:sz w:val="24"/>
          <w:szCs w:val="24"/>
        </w:rPr>
      </w:pPr>
      <w:r>
        <w:rPr>
          <w:rFonts w:hint="eastAsia"/>
          <w:sz w:val="24"/>
          <w:szCs w:val="24"/>
        </w:rPr>
        <w:t>在视频过程中，如果发现填写的信息有误或不一致的情况，认证人员会根据不通过原因打回到信息填写有误的界面，客户刷新前端重新完善信息后再发视频认证。视频审核通过以后，客户点击“下一步”进入到安装数字证书。</w:t>
      </w:r>
    </w:p>
    <w:p>
      <w:pPr>
        <w:pStyle w:val="4"/>
        <w:spacing w:line="300" w:lineRule="auto"/>
        <w:jc w:val="center"/>
        <w:rPr>
          <w:rFonts w:hint="eastAsia" w:ascii="宋体" w:hAnsi="宋体" w:eastAsia="宋体" w:cs="宋体"/>
          <w:i/>
          <w:iCs/>
          <w:sz w:val="36"/>
          <w:szCs w:val="36"/>
          <w:u w:val="single"/>
        </w:rPr>
      </w:pPr>
      <w:bookmarkStart w:id="11" w:name="_Toc9304"/>
      <w:bookmarkStart w:id="12" w:name="_Toc8049308"/>
      <w:r>
        <w:rPr>
          <w:rFonts w:hint="eastAsia" w:ascii="宋体" w:hAnsi="宋体" w:eastAsia="宋体" w:cs="宋体"/>
          <w:i/>
          <w:iCs/>
          <w:sz w:val="36"/>
          <w:szCs w:val="36"/>
          <w:u w:val="single"/>
          <w:lang w:val="en-US" w:eastAsia="zh-CN"/>
        </w:rPr>
        <w:t>Step7.</w:t>
      </w:r>
      <w:r>
        <w:rPr>
          <w:rFonts w:hint="eastAsia" w:ascii="宋体" w:hAnsi="宋体" w:eastAsia="宋体" w:cs="宋体"/>
          <w:i/>
          <w:iCs/>
          <w:sz w:val="36"/>
          <w:szCs w:val="36"/>
          <w:u w:val="single"/>
        </w:rPr>
        <w:t>安装数字证书</w:t>
      </w:r>
      <w:bookmarkEnd w:id="11"/>
      <w:bookmarkEnd w:id="12"/>
    </w:p>
    <w:p>
      <w:pPr>
        <w:pStyle w:val="7"/>
        <w:spacing w:line="300" w:lineRule="auto"/>
        <w:ind w:firstLine="480" w:firstLineChars="200"/>
        <w:rPr>
          <w:sz w:val="24"/>
          <w:szCs w:val="24"/>
        </w:rPr>
      </w:pPr>
      <w:r>
        <w:rPr>
          <w:rFonts w:hint="eastAsia"/>
          <w:sz w:val="24"/>
          <w:szCs w:val="24"/>
        </w:rPr>
        <w:t>数字证书是唯一识别客户的凭证，安装的证书需要输入密码，安装成功后，自动保存到本地。说明：建议客户在开户云进行业务操作时使用同一设备操作，更换设备需要重新安装数字证书。</w:t>
      </w:r>
    </w:p>
    <w:p>
      <w:pPr>
        <w:pStyle w:val="7"/>
        <w:spacing w:line="300" w:lineRule="auto"/>
        <w:ind w:firstLine="480" w:firstLineChars="200"/>
        <w:rPr>
          <w:sz w:val="24"/>
          <w:szCs w:val="24"/>
        </w:rPr>
      </w:pPr>
      <w:r>
        <w:rPr>
          <w:rFonts w:hint="eastAsia"/>
          <w:b w:val="0"/>
          <w:bCs w:val="0"/>
          <w:color w:val="auto"/>
          <w:sz w:val="24"/>
          <w:szCs w:val="24"/>
        </w:rPr>
        <w:t>说明：</w:t>
      </w:r>
      <w:r>
        <w:rPr>
          <w:rFonts w:hint="eastAsia"/>
          <w:sz w:val="24"/>
          <w:szCs w:val="24"/>
        </w:rPr>
        <w:t>此处设置的密码一定要记住，在之后的流程中会用到验证证书的密码。否则，只能删除本地证书文件，重新视频验证、安装证书才可通过。安装证书过程如</w:t>
      </w:r>
      <w:r>
        <w:fldChar w:fldCharType="begin"/>
      </w:r>
      <w:r>
        <w:instrText xml:space="preserve"> HYPERLINK \l "link27" </w:instrText>
      </w:r>
      <w:r>
        <w:fldChar w:fldCharType="separate"/>
      </w:r>
      <w:r>
        <w:rPr>
          <w:rFonts w:hint="eastAsia"/>
        </w:rPr>
        <w:t>图</w:t>
      </w:r>
      <w:r>
        <w:rPr>
          <w:rFonts w:hint="eastAsia"/>
        </w:rPr>
        <w:fldChar w:fldCharType="end"/>
      </w:r>
      <w:r>
        <w:rPr>
          <w:rFonts w:hint="eastAsia"/>
          <w:sz w:val="24"/>
          <w:szCs w:val="24"/>
        </w:rPr>
        <w:t>所示：</w:t>
      </w:r>
    </w:p>
    <w:p>
      <w:pPr>
        <w:pStyle w:val="7"/>
        <w:spacing w:line="300" w:lineRule="auto"/>
        <w:jc w:val="center"/>
        <w:rPr>
          <w:sz w:val="24"/>
          <w:szCs w:val="24"/>
        </w:rPr>
      </w:pPr>
      <w:r>
        <w:rPr>
          <w:snapToGrid/>
          <w:sz w:val="24"/>
          <w:szCs w:val="24"/>
        </w:rPr>
        <w:drawing>
          <wp:inline distT="0" distB="0" distL="0" distR="0">
            <wp:extent cx="2743200" cy="4895850"/>
            <wp:effectExtent l="0" t="0" r="0" b="0"/>
            <wp:docPr id="7" name="图片 7" descr="C:\Users\HSPCAD~1\AppData\Local\Temp\WeChat Files\ab7ac18277302c2c688dc10797c90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SPCAD~1\AppData\Local\Temp\WeChat Files\ab7ac18277302c2c688dc10797c908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43200" cy="4895850"/>
                    </a:xfrm>
                    <a:prstGeom prst="rect">
                      <a:avLst/>
                    </a:prstGeom>
                    <a:noFill/>
                    <a:ln>
                      <a:noFill/>
                    </a:ln>
                  </pic:spPr>
                </pic:pic>
              </a:graphicData>
            </a:graphic>
          </wp:inline>
        </w:drawing>
      </w:r>
    </w:p>
    <w:p>
      <w:pPr>
        <w:pStyle w:val="7"/>
        <w:spacing w:line="300" w:lineRule="auto"/>
        <w:ind w:firstLine="3600" w:firstLineChars="1500"/>
        <w:rPr>
          <w:sz w:val="24"/>
          <w:szCs w:val="24"/>
        </w:rPr>
      </w:pPr>
      <w:r>
        <w:rPr>
          <w:rFonts w:hint="eastAsia"/>
          <w:sz w:val="24"/>
          <w:szCs w:val="24"/>
        </w:rPr>
        <w:t xml:space="preserve"> 设置证书密码</w:t>
      </w:r>
    </w:p>
    <w:p>
      <w:pPr>
        <w:pStyle w:val="7"/>
        <w:spacing w:line="300" w:lineRule="auto"/>
        <w:ind w:firstLine="480" w:firstLineChars="200"/>
        <w:rPr>
          <w:sz w:val="24"/>
          <w:szCs w:val="24"/>
        </w:rPr>
      </w:pPr>
      <w:r>
        <w:rPr>
          <w:rFonts w:hint="eastAsia"/>
          <w:sz w:val="24"/>
          <w:szCs w:val="24"/>
        </w:rPr>
        <w:t>证书安装成功后，页面提示“数字证书已经安装成功！”。否则，会提示证书安装失败，此时用户可以点击“重新安装”或者及时联系期货公司负责人员。证书申请安装界面如</w:t>
      </w:r>
      <w:r>
        <w:fldChar w:fldCharType="begin"/>
      </w:r>
      <w:r>
        <w:instrText xml:space="preserve"> HYPERLINK \l "link29" </w:instrText>
      </w:r>
      <w:r>
        <w:fldChar w:fldCharType="separate"/>
      </w:r>
      <w:r>
        <w:rPr>
          <w:rFonts w:hint="eastAsia"/>
        </w:rPr>
        <w:t>图</w:t>
      </w:r>
      <w:r>
        <w:rPr>
          <w:rFonts w:hint="eastAsia"/>
        </w:rPr>
        <w:fldChar w:fldCharType="end"/>
      </w:r>
      <w:r>
        <w:rPr>
          <w:rFonts w:hint="eastAsia"/>
          <w:sz w:val="24"/>
          <w:szCs w:val="24"/>
        </w:rPr>
        <w:t>所示。</w:t>
      </w:r>
    </w:p>
    <w:p>
      <w:pPr>
        <w:pStyle w:val="7"/>
        <w:spacing w:line="300" w:lineRule="auto"/>
        <w:jc w:val="center"/>
        <w:rPr>
          <w:sz w:val="24"/>
          <w:szCs w:val="24"/>
        </w:rPr>
      </w:pPr>
      <w:r>
        <w:rPr>
          <w:snapToGrid/>
          <w:sz w:val="24"/>
          <w:szCs w:val="24"/>
        </w:rPr>
        <w:drawing>
          <wp:inline distT="0" distB="0" distL="0" distR="0">
            <wp:extent cx="2781300" cy="4829175"/>
            <wp:effectExtent l="0" t="0" r="0" b="9525"/>
            <wp:docPr id="27" name="图片 27" descr="C:\Users\HSPCAD~1\AppData\Local\Temp\WeChat Files\56ed8bda1a07b544f4be798961e32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HSPCAD~1\AppData\Local\Temp\WeChat Files\56ed8bda1a07b544f4be798961e320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781300" cy="4829175"/>
                    </a:xfrm>
                    <a:prstGeom prst="rect">
                      <a:avLst/>
                    </a:prstGeom>
                    <a:noFill/>
                    <a:ln>
                      <a:noFill/>
                    </a:ln>
                  </pic:spPr>
                </pic:pic>
              </a:graphicData>
            </a:graphic>
          </wp:inline>
        </w:drawing>
      </w:r>
    </w:p>
    <w:p>
      <w:pPr>
        <w:pStyle w:val="7"/>
        <w:spacing w:line="300" w:lineRule="auto"/>
        <w:ind w:firstLine="3120" w:firstLineChars="1300"/>
        <w:rPr>
          <w:sz w:val="24"/>
          <w:szCs w:val="24"/>
        </w:rPr>
      </w:pPr>
      <w:r>
        <w:rPr>
          <w:rFonts w:hint="eastAsia"/>
          <w:sz w:val="24"/>
          <w:szCs w:val="24"/>
        </w:rPr>
        <w:t>申请安装数字证书</w:t>
      </w:r>
    </w:p>
    <w:p>
      <w:pPr>
        <w:pStyle w:val="7"/>
        <w:spacing w:line="300" w:lineRule="auto"/>
        <w:ind w:firstLine="480" w:firstLineChars="200"/>
        <w:rPr>
          <w:sz w:val="24"/>
          <w:szCs w:val="24"/>
        </w:rPr>
      </w:pPr>
      <w:r>
        <w:rPr>
          <w:rFonts w:hint="eastAsia"/>
          <w:sz w:val="24"/>
          <w:szCs w:val="24"/>
        </w:rPr>
        <w:t>数字证书安装成功后，点击“下一步”，进入签署协议步骤。</w:t>
      </w:r>
    </w:p>
    <w:p>
      <w:pPr>
        <w:pStyle w:val="7"/>
        <w:spacing w:line="300" w:lineRule="auto"/>
        <w:rPr>
          <w:sz w:val="24"/>
          <w:szCs w:val="24"/>
        </w:rPr>
      </w:pPr>
    </w:p>
    <w:p>
      <w:pPr>
        <w:pStyle w:val="4"/>
        <w:spacing w:line="300" w:lineRule="auto"/>
        <w:jc w:val="center"/>
        <w:rPr>
          <w:i/>
          <w:iCs/>
          <w:sz w:val="36"/>
          <w:szCs w:val="36"/>
          <w:u w:val="single"/>
        </w:rPr>
      </w:pPr>
      <w:bookmarkStart w:id="13" w:name="_Toc8049309"/>
      <w:bookmarkStart w:id="14" w:name="_Toc24819"/>
      <w:r>
        <w:rPr>
          <w:rFonts w:hint="eastAsia"/>
          <w:i/>
          <w:iCs/>
          <w:sz w:val="36"/>
          <w:szCs w:val="36"/>
          <w:u w:val="single"/>
          <w:lang w:val="en-US" w:eastAsia="zh-CN"/>
        </w:rPr>
        <w:t>Step8.</w:t>
      </w:r>
      <w:r>
        <w:rPr>
          <w:rFonts w:hint="eastAsia"/>
          <w:i/>
          <w:iCs/>
          <w:sz w:val="36"/>
          <w:szCs w:val="36"/>
          <w:u w:val="single"/>
        </w:rPr>
        <w:t>签署协议</w:t>
      </w:r>
      <w:bookmarkEnd w:id="13"/>
      <w:bookmarkEnd w:id="14"/>
    </w:p>
    <w:p>
      <w:pPr>
        <w:pStyle w:val="7"/>
        <w:spacing w:line="300" w:lineRule="auto"/>
        <w:ind w:firstLine="480" w:firstLineChars="200"/>
        <w:rPr>
          <w:sz w:val="24"/>
          <w:szCs w:val="24"/>
        </w:rPr>
      </w:pPr>
      <w:r>
        <w:rPr>
          <w:rFonts w:hint="eastAsia"/>
          <w:sz w:val="24"/>
          <w:szCs w:val="24"/>
        </w:rPr>
        <w:t>签署的协议是客户须知、合同书和一些风险说明，客户必须仔细阅读并同意后方可进行下一步。协议内容也是由期货公司自行定义。签署协议界面如图所示。</w:t>
      </w:r>
    </w:p>
    <w:p>
      <w:pPr>
        <w:tabs>
          <w:tab w:val="left" w:pos="1620"/>
        </w:tabs>
        <w:spacing w:line="300" w:lineRule="auto"/>
        <w:jc w:val="center"/>
        <w:rPr>
          <w:b/>
          <w:sz w:val="22"/>
        </w:rPr>
      </w:pPr>
      <w:r>
        <w:drawing>
          <wp:inline distT="0" distB="0" distL="114300" distR="114300">
            <wp:extent cx="2809240" cy="4914265"/>
            <wp:effectExtent l="0" t="0" r="10160" b="63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22"/>
                    <a:stretch>
                      <a:fillRect/>
                    </a:stretch>
                  </pic:blipFill>
                  <pic:spPr>
                    <a:xfrm>
                      <a:off x="0" y="0"/>
                      <a:ext cx="2809240" cy="4914265"/>
                    </a:xfrm>
                    <a:prstGeom prst="rect">
                      <a:avLst/>
                    </a:prstGeom>
                    <a:noFill/>
                    <a:ln w="9525">
                      <a:noFill/>
                    </a:ln>
                  </pic:spPr>
                </pic:pic>
              </a:graphicData>
            </a:graphic>
          </wp:inline>
        </w:drawing>
      </w:r>
    </w:p>
    <w:p>
      <w:pPr>
        <w:tabs>
          <w:tab w:val="left" w:pos="1620"/>
        </w:tabs>
        <w:spacing w:line="300" w:lineRule="auto"/>
        <w:rPr>
          <w:b/>
          <w:sz w:val="22"/>
        </w:rPr>
      </w:pPr>
      <w:r>
        <w:rPr>
          <w:rFonts w:hint="eastAsia"/>
          <w:b/>
          <w:sz w:val="22"/>
        </w:rPr>
        <w:tab/>
      </w:r>
      <w:r>
        <w:rPr>
          <w:rFonts w:hint="eastAsia"/>
          <w:b/>
          <w:sz w:val="22"/>
        </w:rPr>
        <w:tab/>
      </w:r>
      <w:r>
        <w:rPr>
          <w:rFonts w:hint="eastAsia"/>
          <w:b/>
          <w:sz w:val="22"/>
          <w:lang w:val="en-US" w:eastAsia="zh-CN"/>
        </w:rPr>
        <w:t xml:space="preserve">                  </w:t>
      </w:r>
      <w:r>
        <w:rPr>
          <w:rFonts w:hint="eastAsia"/>
          <w:b/>
          <w:sz w:val="22"/>
        </w:rPr>
        <w:t>签署协议</w:t>
      </w:r>
    </w:p>
    <w:p>
      <w:pPr>
        <w:pStyle w:val="7"/>
        <w:spacing w:line="300" w:lineRule="auto"/>
        <w:jc w:val="center"/>
        <w:rPr>
          <w:sz w:val="24"/>
          <w:szCs w:val="24"/>
        </w:rPr>
      </w:pPr>
      <w:r>
        <w:rPr>
          <w:rFonts w:hint="eastAsia"/>
          <w:sz w:val="24"/>
          <w:szCs w:val="24"/>
        </w:rPr>
        <w:t>若协议</w:t>
      </w:r>
      <w:r>
        <w:rPr>
          <w:sz w:val="24"/>
          <w:szCs w:val="24"/>
        </w:rPr>
        <w:t>全部签署后，</w:t>
      </w:r>
      <w:r>
        <w:rPr>
          <w:rFonts w:hint="eastAsia"/>
          <w:sz w:val="24"/>
          <w:szCs w:val="24"/>
        </w:rPr>
        <w:t>点击“下一步”进入到适当性评估申请提交页面如</w:t>
      </w:r>
      <w:r>
        <w:rPr>
          <w:rFonts w:hint="eastAsia"/>
          <w:sz w:val="24"/>
          <w:szCs w:val="24"/>
          <w:lang w:eastAsia="zh-CN"/>
        </w:rPr>
        <w:t>下图</w:t>
      </w:r>
      <w:bookmarkStart w:id="15" w:name="_GoBack"/>
      <w:bookmarkEnd w:id="15"/>
      <w:r>
        <w:drawing>
          <wp:inline distT="0" distB="0" distL="114300" distR="114300">
            <wp:extent cx="2790190" cy="4885690"/>
            <wp:effectExtent l="0" t="0" r="10160" b="1016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3"/>
                    <a:stretch>
                      <a:fillRect/>
                    </a:stretch>
                  </pic:blipFill>
                  <pic:spPr>
                    <a:xfrm>
                      <a:off x="0" y="0"/>
                      <a:ext cx="2790190" cy="4885690"/>
                    </a:xfrm>
                    <a:prstGeom prst="rect">
                      <a:avLst/>
                    </a:prstGeom>
                    <a:noFill/>
                    <a:ln w="9525">
                      <a:noFill/>
                    </a:ln>
                  </pic:spPr>
                </pic:pic>
              </a:graphicData>
            </a:graphic>
          </wp:inline>
        </w:drawing>
      </w:r>
    </w:p>
    <w:p>
      <w:pPr>
        <w:pStyle w:val="7"/>
        <w:spacing w:line="300" w:lineRule="auto"/>
        <w:ind w:firstLine="3150" w:firstLineChars="1500"/>
      </w:pPr>
      <w:r>
        <w:rPr>
          <w:rFonts w:hint="eastAsia"/>
        </w:rPr>
        <w:t>增开交易编码申请提交</w:t>
      </w:r>
    </w:p>
    <w:p>
      <w:pPr>
        <w:pStyle w:val="7"/>
        <w:spacing w:line="300" w:lineRule="auto"/>
        <w:rPr>
          <w:rFonts w:hint="eastAsia"/>
          <w:sz w:val="24"/>
          <w:szCs w:val="24"/>
        </w:rPr>
      </w:pPr>
    </w:p>
    <w:p>
      <w:pPr>
        <w:pStyle w:val="7"/>
        <w:spacing w:line="300" w:lineRule="auto"/>
        <w:ind w:firstLine="480" w:firstLineChars="200"/>
        <w:rPr>
          <w:sz w:val="24"/>
          <w:szCs w:val="24"/>
        </w:rPr>
      </w:pPr>
      <w:r>
        <w:rPr>
          <w:rFonts w:hint="eastAsia"/>
          <w:sz w:val="24"/>
          <w:szCs w:val="24"/>
        </w:rPr>
        <w:t>经过以上这些步骤，用户增开交易编码业务就成功了。</w:t>
      </w:r>
    </w:p>
    <w:p>
      <w:pPr>
        <w:pStyle w:val="7"/>
        <w:spacing w:line="300" w:lineRule="auto"/>
        <w:rPr>
          <w:sz w:val="24"/>
          <w:szCs w:val="24"/>
        </w:rPr>
      </w:pPr>
    </w:p>
    <w:p>
      <w:pPr>
        <w:pStyle w:val="7"/>
        <w:spacing w:line="300" w:lineRule="auto"/>
        <w:ind w:firstLine="482" w:firstLineChars="200"/>
        <w:rPr>
          <w:rFonts w:hint="eastAsia"/>
          <w:b/>
          <w:bCs/>
          <w:sz w:val="24"/>
          <w:szCs w:val="24"/>
          <w:lang w:eastAsia="zh-CN"/>
        </w:rPr>
      </w:pPr>
      <w:r>
        <w:rPr>
          <w:rFonts w:hint="eastAsia"/>
          <w:b/>
          <w:bCs/>
          <w:sz w:val="24"/>
          <w:szCs w:val="24"/>
          <w:lang w:eastAsia="zh-CN"/>
        </w:rPr>
        <w:t>说明：</w:t>
      </w:r>
    </w:p>
    <w:p>
      <w:pPr>
        <w:pStyle w:val="7"/>
        <w:spacing w:line="300" w:lineRule="auto"/>
        <w:ind w:firstLine="480" w:firstLineChars="200"/>
        <w:rPr>
          <w:sz w:val="24"/>
          <w:szCs w:val="24"/>
        </w:rPr>
      </w:pPr>
      <w:r>
        <w:rPr>
          <w:rFonts w:hint="eastAsia"/>
          <w:sz w:val="24"/>
          <w:szCs w:val="24"/>
        </w:rPr>
        <w:t>在我的业务中，客户能够查看到当前在途的业务类型和状态还有相应的其他信息，分为待完成业务和已完成业务。</w:t>
      </w:r>
    </w:p>
    <w:p>
      <w:pPr>
        <w:pStyle w:val="7"/>
        <w:spacing w:line="300" w:lineRule="auto"/>
        <w:ind w:firstLine="480" w:firstLineChars="200"/>
        <w:rPr>
          <w:sz w:val="24"/>
          <w:szCs w:val="24"/>
        </w:rPr>
      </w:pPr>
      <w:r>
        <w:rPr>
          <w:rFonts w:hint="eastAsia"/>
          <w:sz w:val="24"/>
          <w:szCs w:val="24"/>
        </w:rPr>
        <w:t>在待完成业务中客户可以通过“操作”或者“放弃”按钮对当前在途业务进行相应的操作，办理状态能够展示出客户的受理单在不同状态下的信息，备注信息可以展示出，在视频见证未通过和复核任务未通过的情况下客服对客户的受理单驳回原因的展示。</w:t>
      </w:r>
    </w:p>
    <w:p>
      <w:pPr>
        <w:spacing w:line="300" w:lineRule="auto"/>
        <w:ind w:firstLine="480" w:firstLineChars="200"/>
        <w:rPr>
          <w:sz w:val="24"/>
        </w:rPr>
      </w:pPr>
      <w:r>
        <w:rPr>
          <w:rFonts w:hint="eastAsia"/>
          <w:sz w:val="24"/>
        </w:rPr>
        <w:t>若客户存在待完成业务，则无法进行其他业务操作。完成所有待办结业务，或点击“放弃”按钮放弃此业务操作后可进行其他业务。</w:t>
      </w:r>
    </w:p>
    <w:p>
      <w:pPr>
        <w:spacing w:line="300" w:lineRule="auto"/>
        <w:jc w:val="center"/>
      </w:pPr>
      <w:r>
        <w:drawing>
          <wp:inline distT="0" distB="0" distL="0" distR="0">
            <wp:extent cx="2118360" cy="3714750"/>
            <wp:effectExtent l="0" t="0" r="15240" b="0"/>
            <wp:docPr id="32" name="图片 32" descr="C:\Users\HSPCAD~1\AppData\Local\Temp\WeChat Files\ffddf01e939bc8b4afad547b0158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HSPCAD~1\AppData\Local\Temp\WeChat Files\ffddf01e939bc8b4afad547b015831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118568" cy="3714750"/>
                    </a:xfrm>
                    <a:prstGeom prst="rect">
                      <a:avLst/>
                    </a:prstGeom>
                    <a:noFill/>
                    <a:ln>
                      <a:noFill/>
                    </a:ln>
                  </pic:spPr>
                </pic:pic>
              </a:graphicData>
            </a:graphic>
          </wp:inline>
        </w:drawing>
      </w:r>
    </w:p>
    <w:p>
      <w:pPr>
        <w:pStyle w:val="7"/>
        <w:spacing w:line="300" w:lineRule="auto"/>
        <w:ind w:firstLine="3885" w:firstLineChars="1850"/>
      </w:pPr>
      <w:r>
        <w:rPr>
          <w:rFonts w:hint="eastAsia"/>
        </w:rPr>
        <w:t>我的业务</w:t>
      </w:r>
    </w:p>
    <w:p>
      <w:pPr>
        <w:pStyle w:val="7"/>
        <w:spacing w:line="300" w:lineRule="auto"/>
        <w:rPr>
          <w:sz w:val="24"/>
          <w:szCs w:val="24"/>
        </w:rPr>
      </w:pPr>
      <w:r>
        <w:rPr>
          <w:rFonts w:hint="eastAsia"/>
          <w:sz w:val="24"/>
          <w:szCs w:val="24"/>
        </w:rPr>
        <w:t>在已完成业务中不允许客户对其进行操作。</w:t>
      </w:r>
    </w:p>
    <w:p>
      <w:pPr>
        <w:spacing w:line="300" w:lineRule="auto"/>
        <w:jc w:val="center"/>
      </w:pPr>
      <w:r>
        <w:drawing>
          <wp:inline distT="0" distB="0" distL="0" distR="0">
            <wp:extent cx="2339975" cy="4095750"/>
            <wp:effectExtent l="0" t="0" r="3175" b="0"/>
            <wp:docPr id="34" name="图片 34" descr="C:\Users\HSPCAD~1\AppData\Local\Temp\WeChat Files\405242600c53f5afe84a1628805b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HSPCAD~1\AppData\Local\Temp\WeChat Files\405242600c53f5afe84a1628805bea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348471" cy="4109823"/>
                    </a:xfrm>
                    <a:prstGeom prst="rect">
                      <a:avLst/>
                    </a:prstGeom>
                    <a:noFill/>
                    <a:ln>
                      <a:noFill/>
                    </a:ln>
                  </pic:spPr>
                </pic:pic>
              </a:graphicData>
            </a:graphic>
          </wp:inline>
        </w:drawing>
      </w:r>
    </w:p>
    <w:p>
      <w:pPr>
        <w:pStyle w:val="7"/>
        <w:spacing w:line="300" w:lineRule="auto"/>
        <w:ind w:firstLine="3780" w:firstLineChars="1800"/>
      </w:pPr>
      <w:r>
        <w:rPr>
          <w:rFonts w:hint="eastAsia"/>
        </w:rPr>
        <w:t>我的业务</w:t>
      </w:r>
    </w:p>
    <w:p>
      <w:pPr>
        <w:pStyle w:val="7"/>
        <w:spacing w:line="300" w:lineRule="auto"/>
        <w:ind w:firstLine="480" w:firstLineChars="200"/>
        <w:rPr>
          <w:sz w:val="24"/>
          <w:szCs w:val="24"/>
        </w:rPr>
      </w:pPr>
      <w:r>
        <w:rPr>
          <w:rFonts w:hint="eastAsia"/>
          <w:sz w:val="24"/>
          <w:szCs w:val="24"/>
        </w:rPr>
        <w:t>客户在办理业务中，可以通过点击下方左侧我的业务进行跳转，到业务选择也可以查看我的业务中的信息并对其操作。如下图 ：</w:t>
      </w:r>
    </w:p>
    <w:p>
      <w:pPr>
        <w:spacing w:line="300" w:lineRule="auto"/>
        <w:jc w:val="center"/>
      </w:pPr>
      <w:r>
        <w:drawing>
          <wp:inline distT="0" distB="0" distL="0" distR="0">
            <wp:extent cx="2809875" cy="4876800"/>
            <wp:effectExtent l="0" t="0" r="9525" b="0"/>
            <wp:docPr id="35" name="图片 35" descr="C:\Users\HSPCAD~1\AppData\Local\Temp\WeChat Files\24cc98815851575dfc827377f4c1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HSPCAD~1\AppData\Local\Temp\WeChat Files\24cc98815851575dfc827377f4c1fe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809875" cy="4876800"/>
                    </a:xfrm>
                    <a:prstGeom prst="rect">
                      <a:avLst/>
                    </a:prstGeom>
                    <a:noFill/>
                    <a:ln>
                      <a:noFill/>
                    </a:ln>
                  </pic:spPr>
                </pic:pic>
              </a:graphicData>
            </a:graphic>
          </wp:inline>
        </w:drawing>
      </w:r>
    </w:p>
    <w:p>
      <w:pPr>
        <w:pStyle w:val="7"/>
        <w:spacing w:line="300" w:lineRule="auto"/>
        <w:ind w:firstLine="3045" w:firstLineChars="1450"/>
        <w:rPr>
          <w:sz w:val="24"/>
          <w:szCs w:val="24"/>
        </w:rPr>
      </w:pPr>
      <w:r>
        <w:rPr>
          <w:rFonts w:hint="eastAsia"/>
        </w:rPr>
        <w:t>在途业务跳转我的业务</w:t>
      </w:r>
    </w:p>
    <w:p>
      <w:pPr>
        <w:spacing w:line="300" w:lineRule="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Calibri-Bold">
    <w:altName w:val="宋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23153"/>
    <w:rsid w:val="02C04C09"/>
    <w:rsid w:val="0F3A5BDB"/>
    <w:rsid w:val="4B323153"/>
    <w:rsid w:val="6107666F"/>
    <w:rsid w:val="7AB16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link w:val="9"/>
    <w:qFormat/>
    <w:uiPriority w:val="0"/>
    <w:pPr>
      <w:keepNext/>
      <w:keepLines/>
      <w:widowControl/>
      <w:tabs>
        <w:tab w:val="left" w:pos="537"/>
        <w:tab w:val="left" w:pos="576"/>
        <w:tab w:val="left" w:pos="860"/>
      </w:tabs>
      <w:topLinePunct/>
      <w:adjustRightInd w:val="0"/>
      <w:snapToGrid w:val="0"/>
      <w:spacing w:before="200" w:after="160" w:line="240" w:lineRule="atLeast"/>
      <w:jc w:val="left"/>
      <w:outlineLvl w:val="1"/>
    </w:pPr>
    <w:rPr>
      <w:rFonts w:ascii="Book Antiqua" w:hAnsi="Book Antiqua" w:cs="Book Antiqua" w:eastAsiaTheme="majorEastAsia"/>
      <w:b/>
      <w:bCs/>
      <w:kern w:val="0"/>
      <w:sz w:val="36"/>
      <w:szCs w:val="36"/>
      <w:lang w:eastAsia="en-US"/>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widowControl/>
      <w:tabs>
        <w:tab w:val="left" w:pos="864"/>
      </w:tabs>
      <w:topLinePunct/>
      <w:adjustRightInd w:val="0"/>
      <w:snapToGrid w:val="0"/>
      <w:spacing w:before="160" w:after="160" w:line="240" w:lineRule="atLeast"/>
      <w:ind w:left="864" w:hanging="864"/>
      <w:jc w:val="left"/>
      <w:outlineLvl w:val="3"/>
    </w:pPr>
    <w:rPr>
      <w:rFonts w:ascii="Times New Roman" w:hAnsi="Times New Roman" w:cs="Times New Roman" w:eastAsiaTheme="majorEastAsia"/>
      <w:b/>
      <w:bCs/>
      <w:sz w:val="28"/>
      <w:szCs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Table Text"/>
    <w:basedOn w:val="1"/>
    <w:qFormat/>
    <w:uiPriority w:val="0"/>
    <w:pPr>
      <w:topLinePunct/>
      <w:adjustRightInd w:val="0"/>
      <w:snapToGrid w:val="0"/>
      <w:spacing w:before="80" w:after="80" w:line="240" w:lineRule="atLeast"/>
      <w:jc w:val="left"/>
    </w:pPr>
    <w:rPr>
      <w:rFonts w:ascii="Times New Roman" w:hAnsi="Times New Roman" w:eastAsia="宋体" w:cs="Arial"/>
      <w:snapToGrid w:val="0"/>
      <w:kern w:val="0"/>
      <w:szCs w:val="21"/>
    </w:rPr>
  </w:style>
  <w:style w:type="paragraph" w:customStyle="1" w:styleId="8">
    <w:name w:val="el-message__content8"/>
    <w:basedOn w:val="1"/>
    <w:qFormat/>
    <w:uiPriority w:val="0"/>
    <w:pPr>
      <w:spacing w:line="15" w:lineRule="atLeast"/>
      <w:jc w:val="left"/>
    </w:pPr>
    <w:rPr>
      <w:rFonts w:cs="Times New Roman"/>
      <w:kern w:val="0"/>
      <w:szCs w:val="21"/>
    </w:rPr>
  </w:style>
  <w:style w:type="character" w:customStyle="1" w:styleId="9">
    <w:name w:val="标题 2 Char"/>
    <w:basedOn w:val="5"/>
    <w:link w:val="2"/>
    <w:qFormat/>
    <w:uiPriority w:val="0"/>
    <w:rPr>
      <w:rFonts w:ascii="Book Antiqua" w:hAnsi="Book Antiqua" w:cs="Book Antiqua" w:eastAsiaTheme="majorEastAsia"/>
      <w:b/>
      <w:bCs/>
      <w:kern w:val="0"/>
      <w:sz w:val="36"/>
      <w:szCs w:val="36"/>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11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2020-07-14T03:03:00Z</dcterms:created>
  <dc:creator>王双</dc:creator>
  <cp:lastModifiedBy>王双</cp:lastModifiedBy>
  <dcterms:modified xsi:type="dcterms:W3CDTF">2020-07-28T06:02:47Z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